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color w:val="auto"/>
          <w:sz w:val="36"/>
          <w:szCs w:val="36"/>
          <w:highlight w:val="none"/>
        </w:rPr>
      </w:pPr>
      <w:r>
        <w:rPr>
          <w:rFonts w:hint="eastAsia"/>
          <w:b/>
          <w:bCs/>
          <w:color w:val="auto"/>
          <w:sz w:val="36"/>
          <w:szCs w:val="36"/>
          <w:highlight w:val="none"/>
        </w:rPr>
        <w:t>北仑区综合行政执法局2019年政府信息公开年报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一、总体情况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2019年，我局通过区政府信息公开平台主动公开政府信息共计235条，电子化率达100%。主动公开的政府信息内容包括机构概况、法规公文、部门文件、工作信息、行政执法、人事信息、财政信息等七大类。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在此基础上，积极拓展政府信息公开途径，利用局网站、微信微博等媒体公开各项重大工作进展，累计发布局网站工作动态1773条，“北仑城管”公众号图文86篇、微博352条；通过“新北仑”“民生e点通”等城管在线版块主动回应民生关切，切实解决老百姓关心的堵点难点问题，及时更新各科室联系号码，接受群众的咨询和监督；在“浙里办”平台公开我局行政许可事项，实现100%掌上办、100%网上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2019年，我局共主办区九届人大四次会议代表建议和区政协九届三次会议提案16件，其中人大代表建议9件，政协委员提案7件。经征求代表、委员对办理工作的意见和建议，人大代表、政协委员满意率100%。我局承办的代表建议和政协提案办理答复情况全部通过“北仑之窗”进行全文挂网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二、主动公开政府信息情况</w:t>
      </w:r>
    </w:p>
    <w:tbl>
      <w:tblPr>
        <w:tblW w:w="8140" w:type="dxa"/>
        <w:jc w:val="center"/>
        <w:shd w:val="clear"/>
        <w:tblLayout w:type="autofit"/>
        <w:tblCellMar>
          <w:top w:w="15" w:type="dxa"/>
          <w:left w:w="15" w:type="dxa"/>
          <w:bottom w:w="15" w:type="dxa"/>
          <w:right w:w="15" w:type="dxa"/>
        </w:tblCellMar>
      </w:tblPr>
      <w:tblGrid>
        <w:gridCol w:w="3113"/>
        <w:gridCol w:w="1875"/>
        <w:gridCol w:w="6"/>
        <w:gridCol w:w="1265"/>
        <w:gridCol w:w="1881"/>
      </w:tblGrid>
      <w:tr>
        <w:tblPrEx>
          <w:shd w:val="clear"/>
          <w:tblCellMar>
            <w:top w:w="15" w:type="dxa"/>
            <w:left w:w="15" w:type="dxa"/>
            <w:bottom w:w="15" w:type="dxa"/>
            <w:right w:w="15" w:type="dxa"/>
          </w:tblCellMar>
        </w:tblPrEx>
        <w:trPr>
          <w:trHeight w:val="495" w:hRule="atLeast"/>
          <w:jc w:val="center"/>
        </w:trPr>
        <w:tc>
          <w:tcPr>
            <w:tcW w:w="8140" w:type="dxa"/>
            <w:gridSpan w:val="5"/>
            <w:tcBorders>
              <w:top w:val="single" w:color="auto" w:sz="8" w:space="0"/>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第二十条第（一）项</w:t>
            </w:r>
          </w:p>
        </w:tc>
      </w:tr>
      <w:tr>
        <w:tblPrEx>
          <w:tblCellMar>
            <w:top w:w="15" w:type="dxa"/>
            <w:left w:w="15" w:type="dxa"/>
            <w:bottom w:w="15" w:type="dxa"/>
            <w:right w:w="15" w:type="dxa"/>
          </w:tblCellMar>
        </w:tblPrEx>
        <w:trPr>
          <w:trHeight w:val="882"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信息内容</w:t>
            </w:r>
          </w:p>
        </w:tc>
        <w:tc>
          <w:tcPr>
            <w:tcW w:w="1875"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本年新</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制作数量</w:t>
            </w:r>
          </w:p>
        </w:tc>
        <w:tc>
          <w:tcPr>
            <w:tcW w:w="127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本年新</w:t>
            </w:r>
            <w:r>
              <w:rPr>
                <w:rFonts w:hint="eastAsia" w:ascii="宋体" w:hAnsi="宋体" w:eastAsia="宋体" w:cs="宋体"/>
                <w:color w:val="auto"/>
                <w:sz w:val="20"/>
                <w:szCs w:val="20"/>
                <w:highlight w:val="none"/>
              </w:rPr>
              <w:br w:type="textWrapping"/>
            </w:r>
            <w:r>
              <w:rPr>
                <w:rFonts w:hint="eastAsia" w:ascii="宋体" w:hAnsi="宋体" w:eastAsia="宋体" w:cs="宋体"/>
                <w:color w:val="auto"/>
                <w:sz w:val="20"/>
                <w:szCs w:val="20"/>
                <w:highlight w:val="none"/>
              </w:rPr>
              <w:t>公开数量</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对外公开总数量</w:t>
            </w:r>
          </w:p>
        </w:tc>
      </w:tr>
      <w:tr>
        <w:tblPrEx>
          <w:tblCellMar>
            <w:top w:w="15" w:type="dxa"/>
            <w:left w:w="15" w:type="dxa"/>
            <w:bottom w:w="15" w:type="dxa"/>
            <w:right w:w="15" w:type="dxa"/>
          </w:tblCellMar>
        </w:tblPrEx>
        <w:trPr>
          <w:trHeight w:val="523"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规章</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r>
      <w:tr>
        <w:tblPrEx>
          <w:tblCellMar>
            <w:top w:w="15" w:type="dxa"/>
            <w:left w:w="15" w:type="dxa"/>
            <w:bottom w:w="15" w:type="dxa"/>
            <w:right w:w="15" w:type="dxa"/>
          </w:tblCellMar>
        </w:tblPrEx>
        <w:trPr>
          <w:trHeight w:val="471"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规范性文件</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271"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p>
        </w:tc>
      </w:tr>
      <w:tr>
        <w:tblPrEx>
          <w:tblCellMar>
            <w:top w:w="15" w:type="dxa"/>
            <w:left w:w="15" w:type="dxa"/>
            <w:bottom w:w="15" w:type="dxa"/>
            <w:right w:w="15" w:type="dxa"/>
          </w:tblCellMar>
        </w:tblPrEx>
        <w:trPr>
          <w:trHeight w:val="480"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第二十条第（五）项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信息内容</w:t>
            </w:r>
          </w:p>
        </w:tc>
        <w:tc>
          <w:tcPr>
            <w:tcW w:w="1875"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上一年项目数量</w:t>
            </w:r>
          </w:p>
        </w:tc>
        <w:tc>
          <w:tcPr>
            <w:tcW w:w="127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本年增/减</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处理决定数量</w:t>
            </w:r>
          </w:p>
        </w:tc>
      </w:tr>
      <w:tr>
        <w:tblPrEx>
          <w:tblCellMar>
            <w:top w:w="15" w:type="dxa"/>
            <w:left w:w="15" w:type="dxa"/>
            <w:bottom w:w="15" w:type="dxa"/>
            <w:right w:w="15" w:type="dxa"/>
          </w:tblCellMar>
        </w:tblPrEx>
        <w:trPr>
          <w:trHeight w:val="528"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行政许可</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10</w:t>
            </w:r>
          </w:p>
        </w:tc>
        <w:tc>
          <w:tcPr>
            <w:tcW w:w="127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106</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116</w:t>
            </w:r>
          </w:p>
        </w:tc>
      </w:tr>
      <w:tr>
        <w:tblPrEx>
          <w:tblCellMar>
            <w:top w:w="15" w:type="dxa"/>
            <w:left w:w="15" w:type="dxa"/>
            <w:bottom w:w="15" w:type="dxa"/>
            <w:right w:w="15" w:type="dxa"/>
          </w:tblCellMar>
        </w:tblPrEx>
        <w:trPr>
          <w:trHeight w:val="550"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其他对外管理服务事项</w:t>
            </w:r>
          </w:p>
        </w:tc>
        <w:tc>
          <w:tcPr>
            <w:tcW w:w="187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33</w:t>
            </w:r>
          </w:p>
        </w:tc>
        <w:tc>
          <w:tcPr>
            <w:tcW w:w="127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34</w:t>
            </w:r>
          </w:p>
        </w:tc>
      </w:tr>
      <w:tr>
        <w:tblPrEx>
          <w:tblCellMar>
            <w:top w:w="15" w:type="dxa"/>
            <w:left w:w="15" w:type="dxa"/>
            <w:bottom w:w="15" w:type="dxa"/>
            <w:right w:w="15" w:type="dxa"/>
          </w:tblCellMar>
        </w:tblPrEx>
        <w:trPr>
          <w:trHeight w:val="40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第二十条第（六）项</w:t>
            </w:r>
          </w:p>
        </w:tc>
      </w:tr>
      <w:tr>
        <w:tblPrEx>
          <w:tblCellMar>
            <w:top w:w="15" w:type="dxa"/>
            <w:left w:w="15" w:type="dxa"/>
            <w:bottom w:w="15" w:type="dxa"/>
            <w:right w:w="15" w:type="dxa"/>
          </w:tblCellMar>
        </w:tblPrEx>
        <w:trPr>
          <w:trHeight w:val="634"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信息内容</w:t>
            </w:r>
          </w:p>
        </w:tc>
        <w:tc>
          <w:tcPr>
            <w:tcW w:w="1875" w:type="dxa"/>
            <w:tcBorders>
              <w:top w:val="single" w:color="auto" w:sz="8" w:space="0"/>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上一年项目数量</w:t>
            </w:r>
          </w:p>
        </w:tc>
        <w:tc>
          <w:tcPr>
            <w:tcW w:w="1271"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本年增/减</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处理决定数量</w:t>
            </w:r>
          </w:p>
        </w:tc>
      </w:tr>
      <w:tr>
        <w:tblPrEx>
          <w:tblCellMar>
            <w:top w:w="15" w:type="dxa"/>
            <w:left w:w="15" w:type="dxa"/>
            <w:bottom w:w="15" w:type="dxa"/>
            <w:right w:w="15" w:type="dxa"/>
          </w:tblCellMar>
        </w:tblPrEx>
        <w:trPr>
          <w:trHeight w:val="430"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行政处罚</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1456</w:t>
            </w:r>
          </w:p>
        </w:tc>
        <w:tc>
          <w:tcPr>
            <w:tcW w:w="126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1708</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3164</w:t>
            </w:r>
          </w:p>
        </w:tc>
      </w:tr>
      <w:tr>
        <w:tblPrEx>
          <w:tblCellMar>
            <w:top w:w="15" w:type="dxa"/>
            <w:left w:w="15" w:type="dxa"/>
            <w:bottom w:w="15" w:type="dxa"/>
            <w:right w:w="15" w:type="dxa"/>
          </w:tblCellMar>
        </w:tblPrEx>
        <w:trPr>
          <w:trHeight w:val="409"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行政强制</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265"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1881" w:type="dxa"/>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0</w:t>
            </w:r>
          </w:p>
        </w:tc>
      </w:tr>
      <w:tr>
        <w:tblPrEx>
          <w:tblCellMar>
            <w:top w:w="15" w:type="dxa"/>
            <w:left w:w="15" w:type="dxa"/>
            <w:bottom w:w="15" w:type="dxa"/>
            <w:right w:w="15" w:type="dxa"/>
          </w:tblCellMar>
        </w:tblPrEx>
        <w:trPr>
          <w:trHeight w:val="474"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第二十条第（八）项</w:t>
            </w:r>
          </w:p>
        </w:tc>
      </w:tr>
      <w:tr>
        <w:tblPrEx>
          <w:tblCellMar>
            <w:top w:w="15" w:type="dxa"/>
            <w:left w:w="15" w:type="dxa"/>
            <w:bottom w:w="15" w:type="dxa"/>
            <w:right w:w="15" w:type="dxa"/>
          </w:tblCellMar>
        </w:tblPrEx>
        <w:trPr>
          <w:trHeight w:val="270"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信息内容</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上一年项目数量</w:t>
            </w:r>
          </w:p>
        </w:tc>
        <w:tc>
          <w:tcPr>
            <w:tcW w:w="3146" w:type="dxa"/>
            <w:gridSpan w:val="2"/>
            <w:tcBorders>
              <w:top w:val="single" w:color="auto" w:sz="8" w:space="0"/>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本年增/减</w:t>
            </w:r>
          </w:p>
        </w:tc>
      </w:tr>
      <w:tr>
        <w:tblPrEx>
          <w:tblCellMar>
            <w:top w:w="15" w:type="dxa"/>
            <w:left w:w="15" w:type="dxa"/>
            <w:bottom w:w="15" w:type="dxa"/>
            <w:right w:w="15" w:type="dxa"/>
          </w:tblCellMar>
        </w:tblPrEx>
        <w:trPr>
          <w:trHeight w:val="551"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行政事业性收费</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　0</w:t>
            </w:r>
          </w:p>
        </w:tc>
        <w:tc>
          <w:tcPr>
            <w:tcW w:w="3146" w:type="dxa"/>
            <w:gridSpan w:val="2"/>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0 </w:t>
            </w:r>
          </w:p>
        </w:tc>
      </w:tr>
      <w:tr>
        <w:tblPrEx>
          <w:tblCellMar>
            <w:top w:w="15" w:type="dxa"/>
            <w:left w:w="15" w:type="dxa"/>
            <w:bottom w:w="15" w:type="dxa"/>
            <w:right w:w="15" w:type="dxa"/>
          </w:tblCellMar>
        </w:tblPrEx>
        <w:trPr>
          <w:trHeight w:val="476" w:hRule="atLeast"/>
          <w:jc w:val="center"/>
        </w:trPr>
        <w:tc>
          <w:tcPr>
            <w:tcW w:w="8140" w:type="dxa"/>
            <w:gridSpan w:val="5"/>
            <w:tcBorders>
              <w:top w:val="nil"/>
              <w:left w:val="single" w:color="auto" w:sz="8" w:space="0"/>
              <w:bottom w:val="single" w:color="auto" w:sz="8" w:space="0"/>
              <w:right w:val="single" w:color="auto" w:sz="8" w:space="0"/>
            </w:tcBorders>
            <w:shd w:val="clear" w:color="auto" w:fill="C6D9F1"/>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第二十条第（九）项</w:t>
            </w:r>
          </w:p>
        </w:tc>
      </w:tr>
      <w:tr>
        <w:tblPrEx>
          <w:tblCellMar>
            <w:top w:w="15" w:type="dxa"/>
            <w:left w:w="15" w:type="dxa"/>
            <w:bottom w:w="15" w:type="dxa"/>
            <w:right w:w="15" w:type="dxa"/>
          </w:tblCellMar>
        </w:tblPrEx>
        <w:trPr>
          <w:trHeight w:val="585"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信息内容</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采购项目数量</w:t>
            </w:r>
          </w:p>
        </w:tc>
        <w:tc>
          <w:tcPr>
            <w:tcW w:w="3146" w:type="dxa"/>
            <w:gridSpan w:val="2"/>
            <w:tcBorders>
              <w:top w:val="single" w:color="auto" w:sz="8" w:space="0"/>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采购总金额</w:t>
            </w:r>
          </w:p>
        </w:tc>
      </w:tr>
      <w:tr>
        <w:tblPrEx>
          <w:tblCellMar>
            <w:top w:w="15" w:type="dxa"/>
            <w:left w:w="15" w:type="dxa"/>
            <w:bottom w:w="15" w:type="dxa"/>
            <w:right w:w="15" w:type="dxa"/>
          </w:tblCellMar>
        </w:tblPrEx>
        <w:trPr>
          <w:trHeight w:val="539" w:hRule="atLeast"/>
          <w:jc w:val="center"/>
        </w:trPr>
        <w:tc>
          <w:tcPr>
            <w:tcW w:w="3113" w:type="dxa"/>
            <w:tcBorders>
              <w:top w:val="nil"/>
              <w:left w:val="single" w:color="auto" w:sz="8" w:space="0"/>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政府集中采购</w:t>
            </w:r>
          </w:p>
        </w:tc>
        <w:tc>
          <w:tcPr>
            <w:tcW w:w="1881" w:type="dxa"/>
            <w:gridSpan w:val="2"/>
            <w:tcBorders>
              <w:top w:val="nil"/>
              <w:left w:val="nil"/>
              <w:bottom w:val="single" w:color="auto" w:sz="8" w:space="0"/>
              <w:right w:val="single" w:color="auto"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26批</w:t>
            </w:r>
          </w:p>
        </w:tc>
        <w:tc>
          <w:tcPr>
            <w:tcW w:w="3146" w:type="dxa"/>
            <w:gridSpan w:val="2"/>
            <w:tcBorders>
              <w:top w:val="nil"/>
              <w:left w:val="nil"/>
              <w:bottom w:val="single" w:color="auto" w:sz="8" w:space="0"/>
              <w:right w:val="single" w:color="000000" w:sz="8" w:space="0"/>
            </w:tcBorders>
            <w:shd w:val="clear"/>
            <w:noWrap/>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204.5万</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4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三、收到和处理政府信息公开申请情况</w:t>
      </w:r>
    </w:p>
    <w:tbl>
      <w:tblPr>
        <w:tblW w:w="90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16"/>
        <w:gridCol w:w="854"/>
        <w:gridCol w:w="2086"/>
        <w:gridCol w:w="813"/>
        <w:gridCol w:w="755"/>
        <w:gridCol w:w="755"/>
        <w:gridCol w:w="813"/>
        <w:gridCol w:w="973"/>
        <w:gridCol w:w="711"/>
        <w:gridCol w:w="69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vMerge w:val="restart"/>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（本列数据的勾稽关系为：第一项加第二项之和，等于第三项加第四项之和）</w:t>
            </w:r>
          </w:p>
        </w:tc>
        <w:tc>
          <w:tcPr>
            <w:tcW w:w="5515" w:type="dxa"/>
            <w:gridSpan w:val="7"/>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申请人情况</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sans-serif" w:hAnsi="sans-serif" w:eastAsia="sans-serif" w:cs="sans-serif"/>
                <w:color w:val="auto"/>
                <w:sz w:val="24"/>
                <w:szCs w:val="24"/>
                <w:highlight w:val="none"/>
              </w:rPr>
            </w:pPr>
          </w:p>
        </w:tc>
        <w:tc>
          <w:tcPr>
            <w:tcW w:w="813"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自然人</w:t>
            </w:r>
          </w:p>
        </w:tc>
        <w:tc>
          <w:tcPr>
            <w:tcW w:w="400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法人或其他组织</w:t>
            </w:r>
          </w:p>
        </w:tc>
        <w:tc>
          <w:tcPr>
            <w:tcW w:w="695"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56" w:type="dxa"/>
            <w:gridSpan w:val="3"/>
            <w:vMerge w:val="continue"/>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13"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商业企业</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科研机构</w:t>
            </w:r>
          </w:p>
        </w:tc>
        <w:tc>
          <w:tcPr>
            <w:tcW w:w="81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社会公益组织</w:t>
            </w:r>
          </w:p>
        </w:tc>
        <w:tc>
          <w:tcPr>
            <w:tcW w:w="973"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法律服务机构</w:t>
            </w:r>
          </w:p>
        </w:tc>
        <w:tc>
          <w:tcPr>
            <w:tcW w:w="711"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其他</w:t>
            </w:r>
          </w:p>
        </w:tc>
        <w:tc>
          <w:tcPr>
            <w:tcW w:w="695"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一、本年新收政府信息公开申请数量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二、上年结转政府信息公开申请数量</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三、本年度办理结果</w:t>
            </w: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ascii="楷体" w:hAnsi="楷体" w:eastAsia="楷体" w:cs="楷体"/>
                <w:color w:val="auto"/>
                <w:sz w:val="20"/>
                <w:szCs w:val="20"/>
                <w:highlight w:val="none"/>
              </w:rPr>
              <w:t>（一）予以公开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（二）部分公开（区分处理的，只计这一情形，不计其他情形）</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（三）不予公开</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1.属于国家秘密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2.其他法律行政法规禁止公开</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3.危及“三安全一稳定”</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4.保护第三方合法权益</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5.属于三类内部事务信息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6.属于四类过程性信息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7.属于行政执法案卷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8.属于行政查询事项</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（四）无法提供</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1.本机关不掌握相关政府信息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2.没有现成信息需要另行制作</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3.补正后申请内容仍不明确</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（五）不予处理</w:t>
            </w: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1.信访举报投诉类申请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2.重复申请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3.要求提供公开出版物</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4.无正当理由大量反复申请</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85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08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5.要求行政机关确认或重新出具已获取信息</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（六）其他处理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16"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294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楷体" w:hAnsi="楷体" w:eastAsia="楷体" w:cs="楷体"/>
                <w:color w:val="auto"/>
                <w:sz w:val="20"/>
                <w:szCs w:val="20"/>
                <w:highlight w:val="none"/>
              </w:rPr>
              <w:t>（七）总计</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56"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left"/>
              <w:rPr>
                <w:color w:val="auto"/>
                <w:highlight w:val="none"/>
              </w:rPr>
            </w:pPr>
            <w:r>
              <w:rPr>
                <w:rFonts w:hint="eastAsia" w:ascii="宋体" w:hAnsi="宋体" w:eastAsia="宋体" w:cs="宋体"/>
                <w:color w:val="auto"/>
                <w:sz w:val="20"/>
                <w:szCs w:val="20"/>
                <w:highlight w:val="none"/>
              </w:rPr>
              <w:t>四、结转下年度继续办理</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75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c>
          <w:tcPr>
            <w:tcW w:w="81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973"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711"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0</w:t>
            </w:r>
            <w:r>
              <w:rPr>
                <w:rFonts w:hint="default" w:ascii="Calibri" w:hAnsi="Calibri" w:eastAsia="sans-serif" w:cs="Calibri"/>
                <w:color w:val="auto"/>
                <w:sz w:val="20"/>
                <w:szCs w:val="20"/>
                <w:highlight w:val="none"/>
              </w:rPr>
              <w:t> </w:t>
            </w:r>
          </w:p>
        </w:tc>
        <w:tc>
          <w:tcPr>
            <w:tcW w:w="69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default" w:ascii="Calibri" w:hAnsi="Calibri" w:eastAsia="sans-serif" w:cs="Calibri"/>
                <w:color w:val="auto"/>
                <w:sz w:val="20"/>
                <w:szCs w:val="20"/>
                <w:highlight w:val="none"/>
              </w:rPr>
              <w:t> </w:t>
            </w:r>
            <w:r>
              <w:rPr>
                <w:rFonts w:hint="eastAsia" w:ascii="宋体" w:hAnsi="宋体" w:eastAsia="宋体" w:cs="宋体"/>
                <w:color w:val="auto"/>
                <w:sz w:val="20"/>
                <w:szCs w:val="20"/>
                <w:highlight w:val="none"/>
              </w:rPr>
              <w:t>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四、政府信息公开行政复议、行政诉讼情况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 </w:t>
      </w:r>
    </w:p>
    <w:tbl>
      <w:tblPr>
        <w:tblW w:w="9071"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604"/>
        <w:gridCol w:w="604"/>
        <w:gridCol w:w="604"/>
        <w:gridCol w:w="604"/>
        <w:gridCol w:w="658"/>
        <w:gridCol w:w="550"/>
        <w:gridCol w:w="605"/>
        <w:gridCol w:w="605"/>
        <w:gridCol w:w="605"/>
        <w:gridCol w:w="605"/>
        <w:gridCol w:w="605"/>
        <w:gridCol w:w="605"/>
        <w:gridCol w:w="605"/>
        <w:gridCol w:w="606"/>
        <w:gridCol w:w="606"/>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3074" w:type="dxa"/>
            <w:gridSpan w:val="5"/>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行政复议</w:t>
            </w:r>
          </w:p>
        </w:tc>
        <w:tc>
          <w:tcPr>
            <w:tcW w:w="5997" w:type="dxa"/>
            <w:gridSpan w:val="10"/>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行政诉讼</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结果维持</w:t>
            </w:r>
          </w:p>
        </w:tc>
        <w:tc>
          <w:tcPr>
            <w:tcW w:w="604" w:type="dxa"/>
            <w:vMerge w:val="restart"/>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结果纠正</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其他结果</w:t>
            </w:r>
          </w:p>
        </w:tc>
        <w:tc>
          <w:tcPr>
            <w:tcW w:w="604"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尚未审结</w:t>
            </w:r>
          </w:p>
        </w:tc>
        <w:tc>
          <w:tcPr>
            <w:tcW w:w="658"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总计</w:t>
            </w:r>
          </w:p>
        </w:tc>
        <w:tc>
          <w:tcPr>
            <w:tcW w:w="2970"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未经复议直接起诉</w:t>
            </w:r>
          </w:p>
        </w:tc>
        <w:tc>
          <w:tcPr>
            <w:tcW w:w="3027" w:type="dxa"/>
            <w:gridSpan w:val="5"/>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复议后起诉</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04"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604" w:type="dxa"/>
            <w:vMerge w:val="continue"/>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604"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658"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default" w:ascii="sans-serif" w:hAnsi="sans-serif" w:eastAsia="sans-serif" w:cs="sans-serif"/>
                <w:color w:val="auto"/>
                <w:sz w:val="24"/>
                <w:szCs w:val="24"/>
                <w:highlight w:val="none"/>
              </w:rPr>
            </w:pP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结果维持</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其他结果</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尚未审结</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总计</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结果维持</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结果纠正</w:t>
            </w:r>
          </w:p>
        </w:tc>
        <w:tc>
          <w:tcPr>
            <w:tcW w:w="605"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其他结果</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尚未审结</w:t>
            </w:r>
          </w:p>
        </w:tc>
        <w:tc>
          <w:tcPr>
            <w:tcW w:w="606"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180" w:afterAutospacing="0"/>
              <w:ind w:left="0" w:right="0"/>
              <w:jc w:val="center"/>
              <w:rPr>
                <w:color w:val="auto"/>
                <w:highlight w:val="none"/>
              </w:rPr>
            </w:pPr>
            <w:r>
              <w:rPr>
                <w:rFonts w:hint="eastAsia" w:ascii="宋体" w:hAnsi="宋体" w:eastAsia="宋体" w:cs="宋体"/>
                <w:color w:val="auto"/>
                <w:sz w:val="20"/>
                <w:szCs w:val="20"/>
                <w:highlight w:val="none"/>
              </w:rPr>
              <w:t>总计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604"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5</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4</w:t>
            </w:r>
          </w:p>
        </w:tc>
        <w:tc>
          <w:tcPr>
            <w:tcW w:w="60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w:t>
            </w:r>
          </w:p>
        </w:tc>
        <w:tc>
          <w:tcPr>
            <w:tcW w:w="6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10</w:t>
            </w:r>
          </w:p>
        </w:tc>
        <w:tc>
          <w:tcPr>
            <w:tcW w:w="550"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2</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9</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13</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3</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0</w:t>
            </w:r>
          </w:p>
        </w:tc>
        <w:tc>
          <w:tcPr>
            <w:tcW w:w="605"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1</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3</w:t>
            </w:r>
          </w:p>
        </w:tc>
        <w:tc>
          <w:tcPr>
            <w:tcW w:w="606"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color w:val="auto"/>
                <w:highlight w:val="none"/>
              </w:rPr>
            </w:pPr>
            <w:r>
              <w:rPr>
                <w:rFonts w:hint="eastAsia" w:ascii="宋体" w:hAnsi="宋体" w:eastAsia="宋体" w:cs="宋体"/>
                <w:color w:val="auto"/>
                <w:sz w:val="20"/>
                <w:szCs w:val="20"/>
                <w:highlight w:val="none"/>
              </w:rPr>
              <w:t>7</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五、存在的主要问题及改进情况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Fonts w:hint="eastAsia" w:ascii="宋体" w:hAnsi="宋体" w:eastAsia="宋体" w:cs="宋体"/>
          <w:i w:val="0"/>
          <w:caps w:val="0"/>
          <w:color w:val="auto"/>
          <w:spacing w:val="0"/>
          <w:sz w:val="24"/>
          <w:szCs w:val="24"/>
          <w:highlight w:val="none"/>
          <w:bdr w:val="none" w:color="auto" w:sz="0" w:space="0"/>
          <w:shd w:val="clear" w:fill="FFFFFF"/>
        </w:rPr>
        <w:t>一是信息公开人员工作熟练性和专业性有待增强。二是信息公开的内容需更加全面。针对以上情况，我局将继续完善措施，进一步确保信息公开的及时性和全面性；进一步提升工作人员的业务水平，为做好我局政府信息公开工作奠定坚实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color w:val="auto"/>
          <w:highlight w:val="none"/>
        </w:rPr>
      </w:pPr>
      <w:r>
        <w:rPr>
          <w:rStyle w:val="5"/>
          <w:rFonts w:hint="eastAsia" w:ascii="宋体" w:hAnsi="宋体" w:eastAsia="宋体" w:cs="宋体"/>
          <w:b/>
          <w:i w:val="0"/>
          <w:caps w:val="0"/>
          <w:color w:val="auto"/>
          <w:spacing w:val="0"/>
          <w:sz w:val="24"/>
          <w:szCs w:val="24"/>
          <w:highlight w:val="none"/>
          <w:bdr w:val="none" w:color="auto" w:sz="0" w:space="0"/>
          <w:shd w:val="clear" w:fill="FFFFFF"/>
        </w:rPr>
        <w:t>六、其他需要报告的事项</w:t>
      </w:r>
    </w:p>
    <w:p>
      <w:pPr>
        <w:pStyle w:val="2"/>
        <w:keepNext w:val="0"/>
        <w:keepLines w:val="0"/>
        <w:widowControl/>
        <w:suppressLineNumbers w:val="0"/>
        <w:spacing w:before="0" w:beforeAutospacing="0" w:after="0" w:afterAutospacing="0"/>
        <w:ind w:left="0" w:right="0" w:firstLine="480"/>
        <w:rPr>
          <w:color w:val="auto"/>
          <w:highlight w:val="none"/>
        </w:rPr>
      </w:pPr>
      <w:r>
        <w:rPr>
          <w:rFonts w:hint="eastAsia" w:ascii="宋体" w:hAnsi="宋体" w:eastAsia="宋体" w:cs="宋体"/>
          <w:i w:val="0"/>
          <w:caps w:val="0"/>
          <w:color w:val="auto"/>
          <w:spacing w:val="0"/>
          <w:sz w:val="24"/>
          <w:szCs w:val="24"/>
          <w:highlight w:val="none"/>
        </w:rPr>
        <w:t>我局结合工作实际，以局门户网站为主，北仑城管公众号为辅，积极拓展微博、短视频等融媒体平台，全面推进政府信息公开工作。一年以来，在健全工作机制、完善公开内容等方面取得新进展，有效促进了城管执法监管的公开透明、促进了城市管理领域相关政策的公开。</w:t>
      </w:r>
    </w:p>
    <w:p>
      <w:pPr>
        <w:pStyle w:val="2"/>
        <w:keepNext w:val="0"/>
        <w:keepLines w:val="0"/>
        <w:widowControl/>
        <w:suppressLineNumbers w:val="0"/>
        <w:rPr>
          <w:color w:val="auto"/>
          <w:highlight w:val="none"/>
        </w:rPr>
      </w:pPr>
      <w:r>
        <w:rPr>
          <w:color w:val="auto"/>
          <w:highlight w:val="none"/>
          <w:bdr w:val="none" w:color="auto" w:sz="0" w:space="0"/>
        </w:rPr>
        <w:t> </w:t>
      </w:r>
      <w:bookmarkStart w:id="0" w:name="_GoBack"/>
      <w:bookmarkEnd w:id="0"/>
    </w:p>
    <w:p>
      <w:pPr>
        <w:jc w:val="both"/>
        <w:rPr>
          <w:rFonts w:hint="eastAsia"/>
          <w:b/>
          <w:bCs/>
          <w:sz w:val="36"/>
          <w:szCs w:val="36"/>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ESRI AMFM Electric"/>
    <w:panose1 w:val="00000000000000000000"/>
    <w:charset w:val="00"/>
    <w:family w:val="auto"/>
    <w:pitch w:val="default"/>
    <w:sig w:usb0="00000000" w:usb1="00000000" w:usb2="00000000" w:usb3="00000000" w:csb0="00000000" w:csb1="00000000"/>
  </w:font>
  <w:font w:name="ESRI AMFM Electric">
    <w:panose1 w:val="02000400000000000000"/>
    <w:charset w:val="00"/>
    <w:family w:val="auto"/>
    <w:pitch w:val="default"/>
    <w:sig w:usb0="00000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70A9E"/>
    <w:rsid w:val="73F70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0" w:afterAutospacing="0" w:line="420" w:lineRule="atLeast"/>
      <w:ind w:left="0" w:right="0"/>
      <w:jc w:val="left"/>
    </w:pPr>
    <w:rPr>
      <w:kern w:val="0"/>
      <w:sz w:val="24"/>
      <w:lang w:val="en-US" w:eastAsia="zh-CN" w:bidi="ar"/>
    </w:rPr>
  </w:style>
  <w:style w:type="character" w:styleId="5">
    <w:name w:val="Strong"/>
    <w:basedOn w:val="4"/>
    <w:qFormat/>
    <w:uiPriority w:val="0"/>
    <w:rPr>
      <w:b/>
    </w:rPr>
  </w:style>
  <w:style w:type="character" w:styleId="6">
    <w:name w:val="FollowedHyperlink"/>
    <w:basedOn w:val="4"/>
    <w:uiPriority w:val="0"/>
    <w:rPr>
      <w:color w:val="800080"/>
      <w:u w:val="single"/>
    </w:rPr>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2020-03-20T02:17:00Z</dcterms:created>
  <dc:creator>M</dc:creator>
  <cp:lastModifiedBy>M</cp:lastModifiedBy>
  <dcterms:modified xsi:type="dcterms:W3CDTF">2020-03-20T02:23:06Z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