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Fonts w:ascii="宋体" w:hAnsi="宋体" w:eastAsia="宋体" w:cs="宋体"/>
          <w:color w:val="333333"/>
          <w:kern w:val="0"/>
          <w:sz w:val="24"/>
          <w:szCs w:val="24"/>
        </w:rPr>
      </w:pPr>
      <w:r>
        <w:rPr>
          <w:rFonts w:hint="eastAsia" w:ascii="方正小标宋简体" w:hAnsi="方正小标宋简体" w:eastAsia="方正小标宋简体" w:cs="方正小标宋简体"/>
          <w:b w:val="0"/>
          <w:bCs w:val="0"/>
          <w:color w:val="333333"/>
          <w:kern w:val="0"/>
          <w:sz w:val="44"/>
          <w:szCs w:val="44"/>
          <w:lang w:eastAsia="zh-CN"/>
        </w:rPr>
        <w:t>区投合局</w:t>
      </w:r>
      <w:r>
        <w:rPr>
          <w:rFonts w:hint="eastAsia" w:ascii="方正小标宋简体" w:hAnsi="方正小标宋简体" w:eastAsia="方正小标宋简体" w:cs="方正小标宋简体"/>
          <w:b w:val="0"/>
          <w:bCs w:val="0"/>
          <w:color w:val="333333"/>
          <w:kern w:val="0"/>
          <w:sz w:val="44"/>
          <w:szCs w:val="44"/>
          <w:lang w:val="en-US" w:eastAsia="zh-CN"/>
        </w:rPr>
        <w:t>2019</w:t>
      </w:r>
      <w:r>
        <w:rPr>
          <w:rFonts w:hint="eastAsia" w:ascii="方正小标宋简体" w:hAnsi="方正小标宋简体" w:eastAsia="方正小标宋简体" w:cs="方正小标宋简体"/>
          <w:b w:val="0"/>
          <w:bCs w:val="0"/>
          <w:color w:val="333333"/>
          <w:kern w:val="0"/>
          <w:sz w:val="44"/>
          <w:szCs w:val="44"/>
        </w:rPr>
        <w:t>政府信息公开工作年度报告</w:t>
      </w:r>
    </w:p>
    <w:p>
      <w:pPr>
        <w:widowControl/>
        <w:shd w:val="clear" w:color="auto" w:fill="FFFFFF"/>
        <w:ind w:firstLine="480"/>
        <w:rPr>
          <w:rFonts w:ascii="宋体" w:hAnsi="宋体" w:eastAsia="宋体" w:cs="宋体"/>
          <w:color w:val="333333"/>
          <w:kern w:val="0"/>
          <w:sz w:val="24"/>
          <w:szCs w:val="24"/>
        </w:rPr>
      </w:pPr>
    </w:p>
    <w:p>
      <w:pPr>
        <w:widowControl/>
        <w:shd w:val="clear" w:color="auto" w:fill="FFFFFF"/>
        <w:ind w:firstLine="480"/>
        <w:rPr>
          <w:rFonts w:hint="eastAsia" w:ascii="黑体" w:hAnsi="黑体" w:eastAsia="黑体" w:cs="黑体"/>
          <w:b w:val="0"/>
          <w:bCs w:val="0"/>
          <w:color w:val="333333"/>
          <w:kern w:val="0"/>
          <w:sz w:val="28"/>
          <w:szCs w:val="28"/>
        </w:rPr>
      </w:pPr>
      <w:r>
        <w:rPr>
          <w:rFonts w:hint="eastAsia" w:ascii="黑体" w:hAnsi="黑体" w:eastAsia="黑体" w:cs="黑体"/>
          <w:b w:val="0"/>
          <w:bCs w:val="0"/>
          <w:color w:val="333333"/>
          <w:kern w:val="0"/>
          <w:sz w:val="28"/>
          <w:szCs w:val="28"/>
        </w:rPr>
        <w:t>一、总体情况</w:t>
      </w:r>
    </w:p>
    <w:p>
      <w:pPr>
        <w:widowControl/>
        <w:shd w:val="clear" w:color="auto" w:fill="FFFFFF"/>
        <w:ind w:firstLine="560" w:firstLineChars="200"/>
        <w:rPr>
          <w:rFonts w:hint="eastAsia" w:ascii="仿宋_GB2312" w:hAnsi="仿宋_GB2312" w:eastAsia="仿宋_GB2312" w:cs="仿宋_GB2312"/>
          <w:color w:val="333333"/>
          <w:kern w:val="0"/>
          <w:sz w:val="28"/>
          <w:szCs w:val="28"/>
          <w:lang w:val="en-US" w:eastAsia="zh-CN"/>
        </w:rPr>
      </w:pPr>
      <w:r>
        <w:rPr>
          <w:rFonts w:hint="eastAsia" w:ascii="仿宋_GB2312" w:hAnsi="仿宋_GB2312" w:eastAsia="仿宋_GB2312" w:cs="仿宋_GB2312"/>
          <w:color w:val="333333"/>
          <w:kern w:val="0"/>
          <w:sz w:val="28"/>
          <w:szCs w:val="28"/>
          <w:lang w:val="en-US" w:eastAsia="zh-CN"/>
        </w:rPr>
        <w:t>2019年是我区全民招商启动的第一年。为更好地做好信息公开工作，服务招商中心工作，我局</w:t>
      </w:r>
      <w:r>
        <w:rPr>
          <w:rFonts w:hint="eastAsia" w:ascii="仿宋_GB2312" w:hAnsi="仿宋_GB2312" w:eastAsia="仿宋_GB2312" w:cs="仿宋_GB2312"/>
          <w:i w:val="0"/>
          <w:caps w:val="0"/>
          <w:color w:val="333333"/>
          <w:spacing w:val="0"/>
          <w:sz w:val="28"/>
          <w:szCs w:val="28"/>
          <w:shd w:val="clear" w:fill="FFFFFF"/>
          <w:lang w:eastAsia="zh-CN"/>
        </w:rPr>
        <w:t>加强了对</w:t>
      </w:r>
      <w:r>
        <w:rPr>
          <w:rFonts w:hint="eastAsia" w:ascii="仿宋_GB2312" w:hAnsi="仿宋_GB2312" w:eastAsia="仿宋_GB2312" w:cs="仿宋_GB2312"/>
          <w:color w:val="333333"/>
          <w:kern w:val="0"/>
          <w:sz w:val="28"/>
          <w:szCs w:val="28"/>
          <w:lang w:val="en-US" w:eastAsia="zh-CN"/>
        </w:rPr>
        <w:t>政府信息公开工作的领导、分工和落实,确保分管到位、责任到位、落实到位。</w:t>
      </w:r>
    </w:p>
    <w:p>
      <w:pPr>
        <w:widowControl/>
        <w:shd w:val="clear" w:color="auto" w:fill="FFFFFF"/>
        <w:ind w:firstLine="560" w:firstLineChars="200"/>
        <w:rPr>
          <w:rFonts w:hint="eastAsia" w:ascii="仿宋_GB2312" w:hAnsi="仿宋_GB2312" w:eastAsia="仿宋_GB2312" w:cs="仿宋_GB2312"/>
          <w:color w:val="333333"/>
          <w:kern w:val="0"/>
          <w:sz w:val="28"/>
          <w:szCs w:val="28"/>
          <w:lang w:val="en-US" w:eastAsia="zh-CN"/>
        </w:rPr>
      </w:pPr>
      <w:r>
        <w:rPr>
          <w:rFonts w:hint="eastAsia" w:ascii="仿宋_GB2312" w:hAnsi="仿宋_GB2312" w:eastAsia="仿宋_GB2312" w:cs="仿宋_GB2312"/>
          <w:color w:val="333333"/>
          <w:kern w:val="0"/>
          <w:sz w:val="28"/>
          <w:szCs w:val="28"/>
          <w:lang w:val="en-US" w:eastAsia="zh-CN"/>
        </w:rPr>
        <w:t>按照今年中央、省、市和区政府信息公开工作的各项最新规定，我局加强了对</w:t>
      </w:r>
      <w:r>
        <w:rPr>
          <w:rFonts w:hint="eastAsia" w:ascii="仿宋_GB2312" w:hAnsi="仿宋_GB2312" w:eastAsia="仿宋_GB2312" w:cs="仿宋_GB2312"/>
          <w:i w:val="0"/>
          <w:caps w:val="0"/>
          <w:color w:val="333333"/>
          <w:spacing w:val="0"/>
          <w:sz w:val="28"/>
          <w:szCs w:val="28"/>
          <w:shd w:val="clear" w:fill="FFFFFF"/>
        </w:rPr>
        <w:t>《中共中央办公厅、国务院办公厅关于进一步推行政务公开的意见》和《中华人民共和国政府信息公开条例》</w:t>
      </w:r>
      <w:r>
        <w:rPr>
          <w:rFonts w:hint="eastAsia" w:ascii="仿宋_GB2312" w:hAnsi="仿宋_GB2312" w:eastAsia="仿宋_GB2312" w:cs="仿宋_GB2312"/>
          <w:i w:val="0"/>
          <w:caps w:val="0"/>
          <w:color w:val="333333"/>
          <w:spacing w:val="0"/>
          <w:sz w:val="28"/>
          <w:szCs w:val="28"/>
          <w:shd w:val="clear" w:fill="FFFFFF"/>
          <w:lang w:eastAsia="zh-CN"/>
        </w:rPr>
        <w:t>的学习</w:t>
      </w:r>
      <w:r>
        <w:rPr>
          <w:rFonts w:hint="eastAsia" w:ascii="仿宋_GB2312" w:hAnsi="仿宋_GB2312" w:eastAsia="仿宋_GB2312" w:cs="仿宋_GB2312"/>
          <w:i w:val="0"/>
          <w:caps w:val="0"/>
          <w:color w:val="333333"/>
          <w:spacing w:val="0"/>
          <w:sz w:val="28"/>
          <w:szCs w:val="28"/>
          <w:shd w:val="clear" w:fill="FFFFFF"/>
        </w:rPr>
        <w:t>，</w:t>
      </w:r>
      <w:r>
        <w:rPr>
          <w:rFonts w:hint="eastAsia" w:ascii="仿宋_GB2312" w:hAnsi="仿宋_GB2312" w:eastAsia="仿宋_GB2312" w:cs="仿宋_GB2312"/>
          <w:color w:val="333333"/>
          <w:kern w:val="0"/>
          <w:sz w:val="28"/>
          <w:szCs w:val="28"/>
          <w:lang w:val="en-US" w:eastAsia="zh-CN"/>
        </w:rPr>
        <w:t>进一步规范了信息公开类目，完善了公开指南，及时发布人事信息和财务信息，加大了工作进展信息的报送频度，较好地完成了我局政府政府信息公开工作。</w:t>
      </w:r>
    </w:p>
    <w:p>
      <w:pPr>
        <w:widowControl/>
        <w:shd w:val="clear" w:color="auto" w:fill="FFFFFF"/>
        <w:ind w:firstLine="560" w:firstLineChars="200"/>
        <w:rPr>
          <w:rFonts w:hint="eastAsia" w:ascii="仿宋_GB2312" w:hAnsi="仿宋_GB2312" w:eastAsia="仿宋_GB2312" w:cs="仿宋_GB2312"/>
          <w:color w:val="333333"/>
          <w:kern w:val="0"/>
          <w:sz w:val="28"/>
          <w:szCs w:val="28"/>
          <w:lang w:val="en-US" w:eastAsia="zh-CN"/>
        </w:rPr>
      </w:pPr>
      <w:r>
        <w:rPr>
          <w:rFonts w:hint="eastAsia" w:ascii="仿宋_GB2312" w:hAnsi="仿宋_GB2312" w:eastAsia="仿宋_GB2312" w:cs="仿宋_GB2312"/>
          <w:color w:val="333333"/>
          <w:kern w:val="0"/>
          <w:sz w:val="28"/>
          <w:szCs w:val="28"/>
          <w:lang w:val="en-US" w:eastAsia="zh-CN"/>
        </w:rPr>
        <w:t>截止201912月30日，我局政府信息主动公开数共54条，</w:t>
      </w:r>
      <w:r>
        <w:rPr>
          <w:rFonts w:hint="eastAsia" w:ascii="仿宋_GB2312" w:hAnsi="仿宋_GB2312" w:eastAsia="仿宋_GB2312" w:cs="仿宋_GB2312"/>
          <w:i w:val="0"/>
          <w:caps w:val="0"/>
          <w:color w:val="333333"/>
          <w:spacing w:val="0"/>
          <w:sz w:val="28"/>
          <w:szCs w:val="28"/>
          <w:shd w:val="clear" w:fill="FFFFFF"/>
        </w:rPr>
        <w:t>具体信息可在“北仑政府信息公开网站”查阅。</w:t>
      </w:r>
    </w:p>
    <w:p>
      <w:pPr>
        <w:widowControl/>
        <w:shd w:val="clear" w:color="auto" w:fill="FFFFFF"/>
        <w:spacing w:after="240"/>
        <w:ind w:firstLine="480"/>
        <w:rPr>
          <w:rFonts w:hint="eastAsia" w:ascii="黑体" w:hAnsi="黑体" w:eastAsia="黑体" w:cs="黑体"/>
          <w:color w:val="333333"/>
          <w:kern w:val="0"/>
          <w:sz w:val="28"/>
          <w:szCs w:val="28"/>
        </w:rPr>
      </w:pPr>
      <w:r>
        <w:rPr>
          <w:rFonts w:hint="eastAsia" w:ascii="黑体" w:hAnsi="黑体" w:eastAsia="黑体" w:cs="黑体"/>
          <w:b/>
          <w:bCs/>
          <w:color w:val="333333"/>
          <w:kern w:val="0"/>
          <w:sz w:val="28"/>
          <w:szCs w:val="28"/>
        </w:rPr>
        <w:t>二、主动公开政府信息情况</w:t>
      </w:r>
    </w:p>
    <w:tbl>
      <w:tblPr>
        <w:tblStyle w:val="5"/>
        <w:tblW w:w="8140" w:type="dxa"/>
        <w:jc w:val="center"/>
        <w:tblInd w:w="0" w:type="dxa"/>
        <w:tblLayout w:type="fixed"/>
        <w:tblCellMar>
          <w:top w:w="0" w:type="dxa"/>
          <w:left w:w="0" w:type="dxa"/>
          <w:bottom w:w="0" w:type="dxa"/>
          <w:right w:w="0" w:type="dxa"/>
        </w:tblCellMar>
      </w:tblPr>
      <w:tblGrid>
        <w:gridCol w:w="3113"/>
        <w:gridCol w:w="1875"/>
        <w:gridCol w:w="6"/>
        <w:gridCol w:w="1265"/>
        <w:gridCol w:w="1881"/>
      </w:tblGrid>
      <w:tr>
        <w:tblPrEx>
          <w:tblLayout w:type="fixed"/>
          <w:tblCellMar>
            <w:top w:w="0" w:type="dxa"/>
            <w:left w:w="0" w:type="dxa"/>
            <w:bottom w:w="0" w:type="dxa"/>
            <w:right w:w="0" w:type="dxa"/>
          </w:tblCellMar>
        </w:tblPrEx>
        <w:trPr>
          <w:trHeight w:val="278"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第二十条第（一）项</w:t>
            </w:r>
          </w:p>
        </w:tc>
      </w:tr>
      <w:tr>
        <w:tblPrEx>
          <w:tblLayout w:type="fixed"/>
          <w:tblCellMar>
            <w:top w:w="0" w:type="dxa"/>
            <w:left w:w="0" w:type="dxa"/>
            <w:bottom w:w="0" w:type="dxa"/>
            <w:right w:w="0" w:type="dxa"/>
          </w:tblCellMar>
        </w:tblPrEx>
        <w:trPr>
          <w:trHeight w:val="612"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制作数量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本年新</w:t>
            </w:r>
            <w:r>
              <w:rPr>
                <w:rFonts w:hint="eastAsia" w:ascii="宋体" w:hAnsi="宋体" w:eastAsia="宋体" w:cs="宋体"/>
                <w:color w:val="000000"/>
                <w:kern w:val="0"/>
                <w:sz w:val="20"/>
                <w:szCs w:val="20"/>
              </w:rPr>
              <w:br w:type="textWrapping"/>
            </w:r>
            <w:r>
              <w:rPr>
                <w:rFonts w:ascii="宋体" w:hAnsi="宋体" w:eastAsia="宋体" w:cs="宋体"/>
                <w:kern w:val="0"/>
                <w:sz w:val="20"/>
                <w:szCs w:val="20"/>
              </w:rPr>
              <w:t>公开数量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对外公开总数量</w:t>
            </w:r>
          </w:p>
        </w:tc>
      </w:tr>
      <w:tr>
        <w:tblPrEx>
          <w:tblLayout w:type="fixed"/>
          <w:tblCellMar>
            <w:top w:w="0" w:type="dxa"/>
            <w:left w:w="0" w:type="dxa"/>
            <w:bottom w:w="0" w:type="dxa"/>
            <w:right w:w="0" w:type="dxa"/>
          </w:tblCellMar>
        </w:tblPrEx>
        <w:trPr>
          <w:trHeight w:val="39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规章</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r>
      <w:tr>
        <w:tblPrEx>
          <w:tblLayout w:type="fixed"/>
          <w:tblCellMar>
            <w:top w:w="0" w:type="dxa"/>
            <w:left w:w="0" w:type="dxa"/>
            <w:bottom w:w="0" w:type="dxa"/>
            <w:right w:w="0" w:type="dxa"/>
          </w:tblCellMar>
        </w:tblPrEx>
        <w:trPr>
          <w:trHeight w:val="258"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规范性文件</w:t>
            </w:r>
          </w:p>
        </w:tc>
        <w:tc>
          <w:tcPr>
            <w:tcW w:w="187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1271"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r>
      <w:tr>
        <w:tblPrEx>
          <w:tblLayout w:type="fixed"/>
          <w:tblCellMar>
            <w:top w:w="0" w:type="dxa"/>
            <w:left w:w="0" w:type="dxa"/>
            <w:bottom w:w="0" w:type="dxa"/>
            <w:right w:w="0"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第二十条第（五）项</w:t>
            </w:r>
          </w:p>
        </w:tc>
      </w:tr>
      <w:tr>
        <w:tblPrEx>
          <w:tblLayout w:type="fixed"/>
          <w:tblCellMar>
            <w:top w:w="0" w:type="dxa"/>
            <w:left w:w="0" w:type="dxa"/>
            <w:bottom w:w="0" w:type="dxa"/>
            <w:right w:w="0"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Layout w:type="fixed"/>
          <w:tblCellMar>
            <w:top w:w="0" w:type="dxa"/>
            <w:left w:w="0" w:type="dxa"/>
            <w:bottom w:w="0" w:type="dxa"/>
            <w:right w:w="0" w:type="dxa"/>
          </w:tblCellMar>
        </w:tblPrEx>
        <w:trPr>
          <w:trHeight w:val="217"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行政许可</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eastAsia="zh-CN"/>
              </w:rPr>
              <w:t>无</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eastAsia="zh-CN"/>
              </w:rPr>
              <w:t>无</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eastAsia="zh-CN"/>
              </w:rPr>
              <w:t>无</w:t>
            </w:r>
          </w:p>
        </w:tc>
      </w:tr>
      <w:tr>
        <w:tblPrEx>
          <w:tblLayout w:type="fixed"/>
          <w:tblCellMar>
            <w:top w:w="0" w:type="dxa"/>
            <w:left w:w="0" w:type="dxa"/>
            <w:bottom w:w="0" w:type="dxa"/>
            <w:right w:w="0" w:type="dxa"/>
          </w:tblCellMar>
        </w:tblPrEx>
        <w:trPr>
          <w:trHeight w:val="32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其他对外管理服务事项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eastAsia="zh-CN"/>
              </w:rPr>
              <w:t>无</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eastAsia="zh-CN"/>
              </w:rPr>
              <w:t>无</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eastAsia="zh-CN"/>
              </w:rPr>
              <w:t>无</w:t>
            </w:r>
          </w:p>
        </w:tc>
      </w:tr>
      <w:tr>
        <w:tblPrEx>
          <w:tblLayout w:type="fixed"/>
          <w:tblCellMar>
            <w:top w:w="0" w:type="dxa"/>
            <w:left w:w="0" w:type="dxa"/>
            <w:bottom w:w="0" w:type="dxa"/>
            <w:right w:w="0"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第二十条第（六）项</w:t>
            </w:r>
          </w:p>
        </w:tc>
      </w:tr>
      <w:tr>
        <w:tblPrEx>
          <w:tblLayout w:type="fixed"/>
          <w:tblCellMar>
            <w:top w:w="0" w:type="dxa"/>
            <w:left w:w="0" w:type="dxa"/>
            <w:bottom w:w="0" w:type="dxa"/>
            <w:right w:w="0" w:type="dxa"/>
          </w:tblCellMar>
        </w:tblPrEx>
        <w:trPr>
          <w:trHeight w:val="225"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75" w:type="dxa"/>
            <w:tcBorders>
              <w:top w:val="single" w:color="auto" w:sz="8" w:space="0"/>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1271" w:type="dxa"/>
            <w:gridSpan w:val="2"/>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处理决定数量</w:t>
            </w:r>
          </w:p>
        </w:tc>
      </w:tr>
      <w:tr>
        <w:tblPrEx>
          <w:tblLayout w:type="fixed"/>
          <w:tblCellMar>
            <w:top w:w="0" w:type="dxa"/>
            <w:left w:w="0" w:type="dxa"/>
            <w:bottom w:w="0" w:type="dxa"/>
            <w:right w:w="0" w:type="dxa"/>
          </w:tblCellMar>
        </w:tblPrEx>
        <w:trPr>
          <w:trHeight w:val="328"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行政处罚</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eastAsia="zh-CN"/>
              </w:rPr>
              <w:t>无</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eastAsia="zh-CN"/>
              </w:rPr>
              <w:t>无</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eastAsia="zh-CN"/>
              </w:rPr>
              <w:t>无</w:t>
            </w:r>
          </w:p>
        </w:tc>
      </w:tr>
      <w:tr>
        <w:tblPrEx>
          <w:tblLayout w:type="fixed"/>
          <w:tblCellMar>
            <w:top w:w="0" w:type="dxa"/>
            <w:left w:w="0" w:type="dxa"/>
            <w:bottom w:w="0" w:type="dxa"/>
            <w:right w:w="0"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行政强制</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eastAsia="zh-CN"/>
              </w:rPr>
              <w:t>无</w:t>
            </w:r>
          </w:p>
        </w:tc>
        <w:tc>
          <w:tcPr>
            <w:tcW w:w="1265"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eastAsia="zh-CN"/>
              </w:rPr>
              <w:t>无</w:t>
            </w:r>
          </w:p>
        </w:tc>
        <w:tc>
          <w:tcPr>
            <w:tcW w:w="1881" w:type="dxa"/>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eastAsia="zh-CN"/>
              </w:rPr>
              <w:t>无</w:t>
            </w:r>
          </w:p>
        </w:tc>
      </w:tr>
      <w:tr>
        <w:tblPrEx>
          <w:tblLayout w:type="fixed"/>
          <w:tblCellMar>
            <w:top w:w="0" w:type="dxa"/>
            <w:left w:w="0" w:type="dxa"/>
            <w:bottom w:w="0" w:type="dxa"/>
            <w:right w:w="0"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第二十条第（八）项</w:t>
            </w:r>
          </w:p>
        </w:tc>
      </w:tr>
      <w:tr>
        <w:tblPrEx>
          <w:tblLayout w:type="fixed"/>
          <w:tblCellMar>
            <w:top w:w="0" w:type="dxa"/>
            <w:left w:w="0" w:type="dxa"/>
            <w:bottom w:w="0" w:type="dxa"/>
            <w:right w:w="0"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上一年项目数量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本年增/减</w:t>
            </w:r>
          </w:p>
        </w:tc>
      </w:tr>
      <w:tr>
        <w:tblPrEx>
          <w:tblLayout w:type="fixed"/>
          <w:tblCellMar>
            <w:top w:w="0" w:type="dxa"/>
            <w:left w:w="0" w:type="dxa"/>
            <w:bottom w:w="0" w:type="dxa"/>
            <w:right w:w="0" w:type="dxa"/>
          </w:tblCellMar>
        </w:tblPrEx>
        <w:trPr>
          <w:trHeight w:val="42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行政事业性收费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eastAsia="zh-CN"/>
              </w:rPr>
              <w:t>无</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lang w:eastAsia="zh-CN"/>
              </w:rPr>
              <w:t>无</w:t>
            </w:r>
            <w:r>
              <w:rPr>
                <w:rFonts w:hint="eastAsia" w:ascii="宋体" w:hAnsi="宋体" w:eastAsia="宋体" w:cs="宋体"/>
                <w:color w:val="000000"/>
                <w:kern w:val="0"/>
                <w:sz w:val="20"/>
                <w:szCs w:val="20"/>
              </w:rPr>
              <w:t> </w:t>
            </w:r>
          </w:p>
        </w:tc>
      </w:tr>
      <w:tr>
        <w:tblPrEx>
          <w:tblLayout w:type="fixed"/>
          <w:tblCellMar>
            <w:top w:w="0" w:type="dxa"/>
            <w:left w:w="0" w:type="dxa"/>
            <w:bottom w:w="0" w:type="dxa"/>
            <w:right w:w="0"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第二十条第（九）项</w:t>
            </w:r>
          </w:p>
        </w:tc>
      </w:tr>
      <w:tr>
        <w:tblPrEx>
          <w:tblLayout w:type="fixed"/>
          <w:tblCellMar>
            <w:top w:w="0" w:type="dxa"/>
            <w:left w:w="0" w:type="dxa"/>
            <w:bottom w:w="0" w:type="dxa"/>
            <w:right w:w="0" w:type="dxa"/>
          </w:tblCellMar>
        </w:tblPrEx>
        <w:trPr>
          <w:trHeight w:val="465"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信息内容</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采购项目数量</w:t>
            </w:r>
          </w:p>
        </w:tc>
        <w:tc>
          <w:tcPr>
            <w:tcW w:w="3146" w:type="dxa"/>
            <w:gridSpan w:val="2"/>
            <w:tcBorders>
              <w:top w:val="single" w:color="auto" w:sz="8" w:space="0"/>
              <w:left w:val="nil"/>
              <w:bottom w:val="single" w:color="auto" w:sz="8" w:space="0"/>
              <w:right w:val="single" w:color="000000" w:sz="8" w:space="0"/>
            </w:tcBorders>
            <w:noWrap/>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采购总金额</w:t>
            </w:r>
          </w:p>
        </w:tc>
      </w:tr>
      <w:tr>
        <w:tblPrEx>
          <w:tblLayout w:type="fixed"/>
          <w:tblCellMar>
            <w:top w:w="0" w:type="dxa"/>
            <w:left w:w="0" w:type="dxa"/>
            <w:bottom w:w="0" w:type="dxa"/>
            <w:right w:w="0"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noWrap/>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color w:val="000000"/>
                <w:kern w:val="0"/>
                <w:sz w:val="20"/>
                <w:szCs w:val="20"/>
              </w:rPr>
              <w:t>政府集中采购</w:t>
            </w:r>
          </w:p>
        </w:tc>
        <w:tc>
          <w:tcPr>
            <w:tcW w:w="1881" w:type="dxa"/>
            <w:gridSpan w:val="2"/>
            <w:tcBorders>
              <w:top w:val="nil"/>
              <w:left w:val="nil"/>
              <w:bottom w:val="single" w:color="auto" w:sz="8" w:space="0"/>
              <w:right w:val="single" w:color="auto" w:sz="8" w:space="0"/>
            </w:tcBorders>
            <w:noWrap/>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1</w:t>
            </w:r>
          </w:p>
        </w:tc>
        <w:tc>
          <w:tcPr>
            <w:tcW w:w="3146" w:type="dxa"/>
            <w:gridSpan w:val="2"/>
            <w:tcBorders>
              <w:top w:val="nil"/>
              <w:left w:val="nil"/>
              <w:bottom w:val="single" w:color="auto" w:sz="8" w:space="0"/>
              <w:right w:val="single" w:color="000000" w:sz="8" w:space="0"/>
            </w:tcBorders>
            <w:noWrap/>
            <w:tcMar>
              <w:top w:w="0" w:type="dxa"/>
              <w:left w:w="108" w:type="dxa"/>
              <w:bottom w:w="0" w:type="dxa"/>
              <w:right w:w="108" w:type="dxa"/>
            </w:tcMar>
            <w:vAlign w:val="center"/>
          </w:tcPr>
          <w:p>
            <w:pPr>
              <w:widowControl/>
              <w:jc w:val="left"/>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29500元</w:t>
            </w:r>
          </w:p>
        </w:tc>
      </w:tr>
    </w:tbl>
    <w:p>
      <w:pPr>
        <w:widowControl/>
        <w:shd w:val="clear" w:color="auto" w:fill="FFFFFF"/>
        <w:ind w:firstLine="480"/>
        <w:rPr>
          <w:rFonts w:hint="eastAsia" w:ascii="黑体" w:hAnsi="黑体" w:eastAsia="黑体" w:cs="黑体"/>
          <w:color w:val="333333"/>
          <w:kern w:val="0"/>
          <w:sz w:val="28"/>
          <w:szCs w:val="28"/>
        </w:rPr>
      </w:pPr>
    </w:p>
    <w:p>
      <w:pPr>
        <w:widowControl/>
        <w:numPr>
          <w:ilvl w:val="0"/>
          <w:numId w:val="1"/>
        </w:numPr>
        <w:shd w:val="clear" w:color="auto" w:fill="FFFFFF"/>
        <w:spacing w:after="240"/>
        <w:ind w:firstLine="480"/>
        <w:rPr>
          <w:rFonts w:hint="eastAsia" w:ascii="黑体" w:hAnsi="黑体" w:eastAsia="黑体" w:cs="黑体"/>
          <w:b/>
          <w:bCs/>
          <w:color w:val="333333"/>
          <w:kern w:val="0"/>
          <w:sz w:val="28"/>
          <w:szCs w:val="28"/>
        </w:rPr>
      </w:pPr>
      <w:r>
        <w:rPr>
          <w:rFonts w:hint="eastAsia" w:ascii="黑体" w:hAnsi="黑体" w:eastAsia="黑体" w:cs="黑体"/>
          <w:b/>
          <w:bCs/>
          <w:color w:val="333333"/>
          <w:kern w:val="0"/>
          <w:sz w:val="28"/>
          <w:szCs w:val="28"/>
        </w:rPr>
        <w:t>收到和处理政府信息公开申请情况</w:t>
      </w:r>
    </w:p>
    <w:p>
      <w:pPr>
        <w:widowControl/>
        <w:numPr>
          <w:ilvl w:val="0"/>
          <w:numId w:val="0"/>
        </w:numPr>
        <w:shd w:val="clear" w:color="auto" w:fill="FFFFFF"/>
        <w:spacing w:after="240"/>
        <w:rPr>
          <w:rFonts w:hint="default" w:ascii="宋体" w:hAnsi="宋体" w:eastAsia="宋体" w:cs="宋体"/>
          <w:b w:val="0"/>
          <w:bCs w:val="0"/>
          <w:color w:val="333333"/>
          <w:kern w:val="0"/>
          <w:sz w:val="24"/>
          <w:szCs w:val="24"/>
          <w:lang w:val="en-US" w:eastAsia="zh-CN"/>
        </w:rPr>
      </w:pPr>
      <w:r>
        <w:rPr>
          <w:rFonts w:hint="eastAsia" w:ascii="宋体" w:hAnsi="宋体" w:eastAsia="宋体" w:cs="宋体"/>
          <w:b/>
          <w:bCs/>
          <w:color w:val="333333"/>
          <w:kern w:val="0"/>
          <w:sz w:val="24"/>
          <w:szCs w:val="24"/>
          <w:lang w:val="en-US" w:eastAsia="zh-CN"/>
        </w:rPr>
        <w:t xml:space="preserve"> </w:t>
      </w:r>
      <w:r>
        <w:rPr>
          <w:rFonts w:hint="eastAsia" w:ascii="仿宋_GB2312" w:hAnsi="仿宋_GB2312" w:eastAsia="仿宋_GB2312" w:cs="仿宋_GB2312"/>
          <w:b w:val="0"/>
          <w:bCs w:val="0"/>
          <w:color w:val="333333"/>
          <w:kern w:val="0"/>
          <w:sz w:val="28"/>
          <w:szCs w:val="28"/>
          <w:lang w:val="en-US" w:eastAsia="zh-CN"/>
        </w:rPr>
        <w:t xml:space="preserve">   本年度我局未有收到任何政府信息公开申请。</w:t>
      </w:r>
    </w:p>
    <w:tbl>
      <w:tblPr>
        <w:tblStyle w:val="5"/>
        <w:tblW w:w="9071" w:type="dxa"/>
        <w:jc w:val="center"/>
        <w:tblInd w:w="0" w:type="dxa"/>
        <w:tblLayout w:type="fixed"/>
        <w:tblCellMar>
          <w:top w:w="0" w:type="dxa"/>
          <w:left w:w="0" w:type="dxa"/>
          <w:bottom w:w="0" w:type="dxa"/>
          <w:right w:w="0" w:type="dxa"/>
        </w:tblCellMar>
      </w:tblPr>
      <w:tblGrid>
        <w:gridCol w:w="617"/>
        <w:gridCol w:w="854"/>
        <w:gridCol w:w="2086"/>
        <w:gridCol w:w="813"/>
        <w:gridCol w:w="755"/>
        <w:gridCol w:w="755"/>
        <w:gridCol w:w="1021"/>
        <w:gridCol w:w="1037"/>
        <w:gridCol w:w="439"/>
        <w:gridCol w:w="694"/>
      </w:tblGrid>
      <w:tr>
        <w:tblPrEx>
          <w:tblLayout w:type="fixed"/>
          <w:tblCellMar>
            <w:top w:w="0" w:type="dxa"/>
            <w:left w:w="0" w:type="dxa"/>
            <w:bottom w:w="0" w:type="dxa"/>
            <w:right w:w="0" w:type="dxa"/>
          </w:tblCellMar>
        </w:tblPrEx>
        <w:trPr>
          <w:jc w:val="center"/>
        </w:trPr>
        <w:tc>
          <w:tcPr>
            <w:tcW w:w="3557" w:type="dxa"/>
            <w:gridSpan w:val="3"/>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（本列数据的勾稽关系为：第一项加第二项之和，等于第三项加第四项之和）</w:t>
            </w:r>
          </w:p>
        </w:tc>
        <w:tc>
          <w:tcPr>
            <w:tcW w:w="5514" w:type="dxa"/>
            <w:gridSpan w:val="7"/>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申请人情况</w:t>
            </w:r>
          </w:p>
        </w:tc>
      </w:tr>
      <w:tr>
        <w:tblPrEx>
          <w:tblLayout w:type="fixed"/>
          <w:tblCellMar>
            <w:top w:w="0" w:type="dxa"/>
            <w:left w:w="0" w:type="dxa"/>
            <w:bottom w:w="0" w:type="dxa"/>
            <w:right w:w="0" w:type="dxa"/>
          </w:tblCellMar>
        </w:tblPrEx>
        <w:trPr>
          <w:jc w:val="center"/>
        </w:trPr>
        <w:tc>
          <w:tcPr>
            <w:tcW w:w="3557"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13"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自然人</w:t>
            </w:r>
          </w:p>
        </w:tc>
        <w:tc>
          <w:tcPr>
            <w:tcW w:w="400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法人或其他组织</w:t>
            </w:r>
          </w:p>
        </w:tc>
        <w:tc>
          <w:tcPr>
            <w:tcW w:w="69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r>
      <w:tr>
        <w:tblPrEx>
          <w:tblLayout w:type="fixed"/>
          <w:tblCellMar>
            <w:top w:w="0" w:type="dxa"/>
            <w:left w:w="0" w:type="dxa"/>
            <w:bottom w:w="0" w:type="dxa"/>
            <w:right w:w="0" w:type="dxa"/>
          </w:tblCellMar>
        </w:tblPrEx>
        <w:trPr>
          <w:jc w:val="center"/>
        </w:trPr>
        <w:tc>
          <w:tcPr>
            <w:tcW w:w="3557" w:type="dxa"/>
            <w:gridSpan w:val="3"/>
            <w:vMerge w:val="continue"/>
            <w:tcBorders>
              <w:top w:val="single" w:color="auto" w:sz="8" w:space="0"/>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13"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商业企业</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科研机构</w:t>
            </w:r>
          </w:p>
        </w:tc>
        <w:tc>
          <w:tcPr>
            <w:tcW w:w="102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社会公益组织</w:t>
            </w:r>
          </w:p>
        </w:tc>
        <w:tc>
          <w:tcPr>
            <w:tcW w:w="103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法律服务机构</w:t>
            </w:r>
          </w:p>
        </w:tc>
        <w:tc>
          <w:tcPr>
            <w:tcW w:w="43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w:t>
            </w:r>
          </w:p>
        </w:tc>
        <w:tc>
          <w:tcPr>
            <w:tcW w:w="69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r>
      <w:tr>
        <w:tblPrEx>
          <w:tblLayout w:type="fixed"/>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一、本年新收政府信息公开申请数量</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10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10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p>
        </w:tc>
        <w:tc>
          <w:tcPr>
            <w:tcW w:w="4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二、上年结转政府信息公开申请数量</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p>
        </w:tc>
        <w:tc>
          <w:tcPr>
            <w:tcW w:w="10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p>
        </w:tc>
        <w:tc>
          <w:tcPr>
            <w:tcW w:w="10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p>
        </w:tc>
        <w:tc>
          <w:tcPr>
            <w:tcW w:w="4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jc w:val="center"/>
        </w:trPr>
        <w:tc>
          <w:tcPr>
            <w:tcW w:w="617"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三、本年度办理结果</w:t>
            </w: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（一）予以公开</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10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10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4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（二）部分公开（区分处理的，只计这一情形，不计其他情形）</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10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10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4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（三）不予公开</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1.属于国家秘密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10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10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4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2.其他法律行政法规禁止公开</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10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10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4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3.危及“三安全一稳定”</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10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10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4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4.保护第三方合法权益</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10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10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4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5.属于三类内部事务信息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10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10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4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6.属于四类过程性信息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10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10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4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7.属于行政执法案卷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10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10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4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8.属于行政查询事项</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10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10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4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（四）无法提供</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1.本机关不掌握相关政府信息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10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10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4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2.没有现成信息需要另行制作</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10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10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4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3.补正后申请内容仍不明确</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10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10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4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（五）不予处理</w:t>
            </w: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1.信访举报投诉类申请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10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10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4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2.重复申请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10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10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4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3.要求提供公开出版物</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10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10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4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4.无正当理由大量反复申请</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10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10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4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85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08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5.要求行政机关确认或重新出具已获取信息</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10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10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4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（六）其他处理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10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10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4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r>
      <w:tr>
        <w:tblPrEx>
          <w:tblLayout w:type="fixed"/>
          <w:tblCellMar>
            <w:top w:w="0" w:type="dxa"/>
            <w:left w:w="0" w:type="dxa"/>
            <w:bottom w:w="0" w:type="dxa"/>
            <w:right w:w="0" w:type="dxa"/>
          </w:tblCellMar>
        </w:tblPrEx>
        <w:trPr>
          <w:jc w:val="center"/>
        </w:trPr>
        <w:tc>
          <w:tcPr>
            <w:tcW w:w="61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2940" w:type="dxa"/>
            <w:gridSpan w:val="2"/>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楷体" w:hAnsi="楷体" w:eastAsia="楷体" w:cs="宋体"/>
                <w:kern w:val="0"/>
                <w:sz w:val="20"/>
                <w:szCs w:val="20"/>
              </w:rPr>
              <w:t>（七）总计</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10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10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4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r>
      <w:tr>
        <w:tblPrEx>
          <w:tblLayout w:type="fixed"/>
          <w:tblCellMar>
            <w:top w:w="0" w:type="dxa"/>
            <w:left w:w="0" w:type="dxa"/>
            <w:bottom w:w="0" w:type="dxa"/>
            <w:right w:w="0" w:type="dxa"/>
          </w:tblCellMar>
        </w:tblPrEx>
        <w:trPr>
          <w:jc w:val="center"/>
        </w:trPr>
        <w:tc>
          <w:tcPr>
            <w:tcW w:w="3557" w:type="dxa"/>
            <w:gridSpan w:val="3"/>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r>
              <w:rPr>
                <w:rFonts w:hint="eastAsia" w:ascii="宋体" w:hAnsi="宋体" w:eastAsia="宋体" w:cs="宋体"/>
                <w:kern w:val="0"/>
                <w:sz w:val="20"/>
                <w:szCs w:val="20"/>
              </w:rPr>
              <w:t>四、结转下年度继续办理</w:t>
            </w:r>
          </w:p>
        </w:tc>
        <w:tc>
          <w:tcPr>
            <w:tcW w:w="813"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75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102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103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43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ascii="Calibri" w:hAnsi="Calibri" w:eastAsia="宋体" w:cs="宋体"/>
                <w:kern w:val="0"/>
                <w:sz w:val="20"/>
                <w:szCs w:val="20"/>
              </w:rPr>
              <w:t> </w:t>
            </w:r>
          </w:p>
        </w:tc>
        <w:tc>
          <w:tcPr>
            <w:tcW w:w="69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宋体" w:hAnsi="宋体" w:eastAsia="宋体" w:cs="宋体"/>
                <w:kern w:val="0"/>
                <w:sz w:val="24"/>
                <w:szCs w:val="24"/>
              </w:rPr>
            </w:pPr>
          </w:p>
        </w:tc>
      </w:tr>
    </w:tbl>
    <w:p>
      <w:pPr>
        <w:widowControl/>
        <w:shd w:val="clear" w:color="auto" w:fill="FFFFFF"/>
        <w:ind w:firstLine="480"/>
        <w:rPr>
          <w:rFonts w:hint="eastAsia" w:ascii="黑体" w:hAnsi="黑体" w:eastAsia="黑体" w:cs="黑体"/>
          <w:color w:val="333333"/>
          <w:kern w:val="0"/>
          <w:sz w:val="28"/>
          <w:szCs w:val="28"/>
        </w:rPr>
      </w:pPr>
    </w:p>
    <w:p>
      <w:pPr>
        <w:widowControl/>
        <w:numPr>
          <w:ilvl w:val="0"/>
          <w:numId w:val="1"/>
        </w:numPr>
        <w:shd w:val="clear" w:color="auto" w:fill="FFFFFF"/>
        <w:ind w:left="0" w:leftChars="0" w:firstLine="480" w:firstLineChars="0"/>
        <w:rPr>
          <w:rFonts w:hint="eastAsia" w:ascii="黑体" w:hAnsi="黑体" w:eastAsia="黑体" w:cs="黑体"/>
          <w:b/>
          <w:bCs/>
          <w:color w:val="333333"/>
          <w:kern w:val="0"/>
          <w:sz w:val="28"/>
          <w:szCs w:val="28"/>
        </w:rPr>
      </w:pPr>
      <w:r>
        <w:rPr>
          <w:rFonts w:hint="eastAsia" w:ascii="黑体" w:hAnsi="黑体" w:eastAsia="黑体" w:cs="黑体"/>
          <w:b/>
          <w:bCs/>
          <w:color w:val="333333"/>
          <w:kern w:val="0"/>
          <w:sz w:val="28"/>
          <w:szCs w:val="28"/>
        </w:rPr>
        <w:t>政府信息公开行政复议、行政诉讼情况</w:t>
      </w:r>
    </w:p>
    <w:p>
      <w:pPr>
        <w:widowControl/>
        <w:numPr>
          <w:ilvl w:val="0"/>
          <w:numId w:val="0"/>
        </w:numPr>
        <w:shd w:val="clear" w:color="auto" w:fill="FFFFFF"/>
        <w:ind w:left="480" w:leftChars="0"/>
        <w:rPr>
          <w:rFonts w:hint="eastAsia" w:ascii="仿宋_GB2312" w:hAnsi="仿宋_GB2312" w:eastAsia="仿宋_GB2312" w:cs="仿宋_GB2312"/>
          <w:b w:val="0"/>
          <w:bCs w:val="0"/>
          <w:color w:val="333333"/>
          <w:kern w:val="0"/>
          <w:sz w:val="28"/>
          <w:szCs w:val="28"/>
          <w:lang w:eastAsia="zh-CN"/>
        </w:rPr>
      </w:pPr>
      <w:r>
        <w:rPr>
          <w:rFonts w:hint="eastAsia" w:ascii="仿宋_GB2312" w:hAnsi="仿宋_GB2312" w:eastAsia="仿宋_GB2312" w:cs="仿宋_GB2312"/>
          <w:b w:val="0"/>
          <w:bCs w:val="0"/>
          <w:color w:val="333333"/>
          <w:kern w:val="0"/>
          <w:sz w:val="28"/>
          <w:szCs w:val="28"/>
          <w:lang w:eastAsia="zh-CN"/>
        </w:rPr>
        <w:t>我局未有此类情况。</w:t>
      </w:r>
    </w:p>
    <w:p>
      <w:pPr>
        <w:widowControl/>
        <w:shd w:val="clear" w:color="auto" w:fill="FFFFFF"/>
        <w:ind w:firstLine="480"/>
        <w:rPr>
          <w:rFonts w:ascii="宋体" w:hAnsi="宋体" w:eastAsia="宋体" w:cs="宋体"/>
          <w:color w:val="333333"/>
          <w:kern w:val="0"/>
          <w:sz w:val="24"/>
          <w:szCs w:val="24"/>
        </w:rPr>
      </w:pPr>
    </w:p>
    <w:tbl>
      <w:tblPr>
        <w:tblStyle w:val="5"/>
        <w:tblW w:w="9071" w:type="dxa"/>
        <w:jc w:val="center"/>
        <w:tblInd w:w="0" w:type="dxa"/>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Layout w:type="fixed"/>
          <w:tblCellMar>
            <w:top w:w="0" w:type="dxa"/>
            <w:left w:w="0" w:type="dxa"/>
            <w:bottom w:w="0" w:type="dxa"/>
            <w:right w:w="0"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行政复议</w:t>
            </w:r>
          </w:p>
        </w:tc>
        <w:tc>
          <w:tcPr>
            <w:tcW w:w="5997" w:type="dxa"/>
            <w:gridSpan w:val="10"/>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行政诉讼</w:t>
            </w:r>
          </w:p>
        </w:tc>
      </w:tr>
      <w:tr>
        <w:tblPrEx>
          <w:tblLayout w:type="fixed"/>
          <w:tblCellMar>
            <w:top w:w="0" w:type="dxa"/>
            <w:left w:w="0" w:type="dxa"/>
            <w:bottom w:w="0" w:type="dxa"/>
            <w:right w:w="0" w:type="dxa"/>
          </w:tblCellMar>
        </w:tblPrEx>
        <w:trPr>
          <w:jc w:val="center"/>
        </w:trPr>
        <w:tc>
          <w:tcPr>
            <w:tcW w:w="604" w:type="dxa"/>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4" w:type="dxa"/>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5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总计</w:t>
            </w:r>
          </w:p>
        </w:tc>
        <w:tc>
          <w:tcPr>
            <w:tcW w:w="2970"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复议后起诉</w:t>
            </w:r>
          </w:p>
        </w:tc>
      </w:tr>
      <w:tr>
        <w:tblPrEx>
          <w:tblLayout w:type="fixed"/>
          <w:tblCellMar>
            <w:top w:w="0" w:type="dxa"/>
            <w:left w:w="0" w:type="dxa"/>
            <w:bottom w:w="0" w:type="dxa"/>
            <w:right w:w="0" w:type="dxa"/>
          </w:tblCellMar>
        </w:tblPrEx>
        <w:trPr>
          <w:jc w:val="center"/>
        </w:trPr>
        <w:tc>
          <w:tcPr>
            <w:tcW w:w="604"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04" w:type="dxa"/>
            <w:vMerge w:val="continue"/>
            <w:tcBorders>
              <w:top w:val="nil"/>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04"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658" w:type="dxa"/>
            <w:vMerge w:val="continue"/>
            <w:tcBorders>
              <w:top w:val="single" w:color="auto" w:sz="8" w:space="0"/>
              <w:left w:val="nil"/>
              <w:bottom w:val="single" w:color="auto" w:sz="8" w:space="0"/>
              <w:right w:val="single" w:color="auto" w:sz="8" w:space="0"/>
            </w:tcBorders>
            <w:vAlign w:val="center"/>
          </w:tcPr>
          <w:p>
            <w:pPr>
              <w:widowControl/>
              <w:jc w:val="left"/>
              <w:rPr>
                <w:rFonts w:ascii="宋体" w:hAnsi="宋体" w:eastAsia="宋体" w:cs="宋体"/>
                <w:kern w:val="0"/>
                <w:sz w:val="24"/>
                <w:szCs w:val="24"/>
              </w:rPr>
            </w:pP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其他结果</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结果维持</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结果纠正</w:t>
            </w:r>
          </w:p>
        </w:tc>
        <w:tc>
          <w:tcPr>
            <w:tcW w:w="60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其他结果</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rPr>
              <w:t>尚未审结</w:t>
            </w:r>
          </w:p>
        </w:tc>
        <w:tc>
          <w:tcPr>
            <w:tcW w:w="6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rPr>
              <w:t>总计</w:t>
            </w:r>
          </w:p>
        </w:tc>
      </w:tr>
      <w:tr>
        <w:tblPrEx>
          <w:tblLayout w:type="fixed"/>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Calibri" w:hAnsi="Calibri" w:eastAsia="宋体" w:cs="宋体"/>
                <w:kern w:val="0"/>
                <w:sz w:val="20"/>
                <w:szCs w:val="20"/>
                <w:lang w:val="en-US" w:eastAsia="zh-CN"/>
              </w:rPr>
              <w:t>0</w:t>
            </w:r>
            <w:r>
              <w:rPr>
                <w:rFonts w:ascii="Calibri" w:hAnsi="Calibri" w:eastAsia="宋体" w:cs="宋体"/>
                <w:kern w:val="0"/>
                <w:sz w:val="20"/>
                <w:szCs w:val="20"/>
              </w:rPr>
              <w:t> </w:t>
            </w:r>
          </w:p>
        </w:tc>
        <w:tc>
          <w:tcPr>
            <w:tcW w:w="60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65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ascii="Calibri" w:hAnsi="Calibri" w:eastAsia="宋体" w:cs="宋体"/>
                <w:kern w:val="0"/>
                <w:sz w:val="20"/>
                <w:szCs w:val="20"/>
              </w:rPr>
              <w:t> </w:t>
            </w:r>
            <w:r>
              <w:rPr>
                <w:rFonts w:hint="eastAsia" w:ascii="Calibri" w:hAnsi="Calibri" w:eastAsia="宋体" w:cs="宋体"/>
                <w:kern w:val="0"/>
                <w:sz w:val="20"/>
                <w:szCs w:val="20"/>
                <w:lang w:val="en-US" w:eastAsia="zh-CN"/>
              </w:rPr>
              <w:t>0</w:t>
            </w:r>
          </w:p>
        </w:tc>
        <w:tc>
          <w:tcPr>
            <w:tcW w:w="55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lang w:val="en-US" w:eastAsia="zh-CN"/>
              </w:rPr>
              <w:t>0</w:t>
            </w:r>
            <w:r>
              <w:rPr>
                <w:rFonts w:hint="eastAsia" w:ascii="宋体" w:hAnsi="宋体" w:eastAsia="宋体" w:cs="宋体"/>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color w:val="000000"/>
                <w:kern w:val="0"/>
                <w:sz w:val="20"/>
                <w:szCs w:val="20"/>
              </w:rPr>
              <w:t> </w:t>
            </w:r>
            <w:r>
              <w:rPr>
                <w:rFonts w:hint="eastAsia" w:ascii="宋体" w:hAnsi="宋体" w:eastAsia="宋体"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lang w:val="en-US" w:eastAsia="zh-CN"/>
              </w:rPr>
              <w:t>0</w:t>
            </w:r>
            <w:r>
              <w:rPr>
                <w:rFonts w:hint="eastAsia" w:ascii="宋体" w:hAnsi="宋体" w:eastAsia="宋体" w:cs="宋体"/>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kern w:val="0"/>
                <w:sz w:val="20"/>
                <w:szCs w:val="20"/>
                <w:lang w:val="en-US" w:eastAsia="zh-CN"/>
              </w:rPr>
              <w:t>0</w:t>
            </w:r>
            <w:r>
              <w:rPr>
                <w:rFonts w:hint="eastAsia" w:ascii="宋体" w:hAnsi="宋体" w:eastAsia="宋体" w:cs="宋体"/>
                <w:kern w:val="0"/>
                <w:sz w:val="20"/>
                <w:szCs w:val="20"/>
              </w:rPr>
              <w:t> </w:t>
            </w:r>
          </w:p>
        </w:tc>
        <w:tc>
          <w:tcPr>
            <w:tcW w:w="60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宋体" w:hAnsi="宋体" w:eastAsia="宋体" w:cs="宋体"/>
                <w:kern w:val="0"/>
                <w:sz w:val="24"/>
                <w:szCs w:val="24"/>
              </w:rPr>
            </w:pPr>
            <w:r>
              <w:rPr>
                <w:rFonts w:hint="eastAsia" w:ascii="宋体" w:hAnsi="宋体" w:eastAsia="宋体" w:cs="宋体"/>
                <w:color w:val="000000"/>
                <w:kern w:val="0"/>
                <w:sz w:val="20"/>
                <w:szCs w:val="20"/>
                <w:lang w:val="en-US" w:eastAsia="zh-CN"/>
              </w:rPr>
              <w:t>0</w:t>
            </w:r>
            <w:r>
              <w:rPr>
                <w:rFonts w:hint="eastAsia" w:ascii="宋体" w:hAnsi="宋体" w:eastAsia="宋体" w:cs="宋体"/>
                <w:color w:val="000000"/>
                <w:kern w:val="0"/>
                <w:sz w:val="20"/>
                <w:szCs w:val="20"/>
              </w:rPr>
              <w:t> </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0"/>
                <w:szCs w:val="20"/>
              </w:rPr>
              <w:t> </w:t>
            </w:r>
            <w:r>
              <w:rPr>
                <w:rFonts w:hint="eastAsia" w:ascii="宋体" w:hAnsi="宋体" w:eastAsia="宋体" w:cs="宋体"/>
                <w:kern w:val="0"/>
                <w:sz w:val="20"/>
                <w:szCs w:val="20"/>
                <w:lang w:val="en-US" w:eastAsia="zh-CN"/>
              </w:rPr>
              <w:t>0</w:t>
            </w:r>
          </w:p>
        </w:tc>
        <w:tc>
          <w:tcPr>
            <w:tcW w:w="60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bl>
    <w:p>
      <w:pPr>
        <w:widowControl/>
        <w:shd w:val="clear" w:color="auto" w:fill="FFFFFF"/>
        <w:jc w:val="center"/>
        <w:rPr>
          <w:rFonts w:ascii="宋体" w:hAnsi="宋体" w:eastAsia="宋体" w:cs="宋体"/>
          <w:color w:val="333333"/>
          <w:kern w:val="0"/>
          <w:sz w:val="24"/>
          <w:szCs w:val="24"/>
        </w:rPr>
      </w:pPr>
    </w:p>
    <w:p>
      <w:pPr>
        <w:widowControl/>
        <w:numPr>
          <w:ilvl w:val="0"/>
          <w:numId w:val="1"/>
        </w:numPr>
        <w:shd w:val="clear" w:color="auto" w:fill="FFFFFF"/>
        <w:ind w:left="0" w:leftChars="0" w:firstLine="480" w:firstLineChars="0"/>
        <w:rPr>
          <w:rFonts w:hint="eastAsia" w:ascii="黑体" w:hAnsi="黑体" w:eastAsia="黑体" w:cs="黑体"/>
          <w:b w:val="0"/>
          <w:bCs w:val="0"/>
          <w:color w:val="333333"/>
          <w:kern w:val="0"/>
          <w:sz w:val="28"/>
          <w:szCs w:val="28"/>
        </w:rPr>
      </w:pPr>
      <w:r>
        <w:rPr>
          <w:rFonts w:hint="eastAsia" w:ascii="黑体" w:hAnsi="黑体" w:eastAsia="黑体" w:cs="黑体"/>
          <w:b w:val="0"/>
          <w:bCs w:val="0"/>
          <w:color w:val="333333"/>
          <w:kern w:val="0"/>
          <w:sz w:val="28"/>
          <w:szCs w:val="28"/>
        </w:rPr>
        <w:t>存在的主要问题及改进情况</w:t>
      </w:r>
    </w:p>
    <w:p>
      <w:pPr>
        <w:widowControl/>
        <w:numPr>
          <w:ilvl w:val="0"/>
          <w:numId w:val="0"/>
        </w:numPr>
        <w:shd w:val="clear" w:color="auto" w:fill="FFFFFF"/>
        <w:ind w:left="480" w:leftChars="0" w:firstLine="560" w:firstLineChars="200"/>
        <w:rPr>
          <w:rFonts w:hint="eastAsia" w:ascii="仿宋_GB2312" w:hAnsi="仿宋_GB2312" w:eastAsia="仿宋_GB2312" w:cs="仿宋_GB2312"/>
          <w:b w:val="0"/>
          <w:bCs w:val="0"/>
          <w:color w:val="333333"/>
          <w:kern w:val="0"/>
          <w:sz w:val="28"/>
          <w:szCs w:val="28"/>
          <w:lang w:val="en-US" w:eastAsia="zh-CN"/>
        </w:rPr>
      </w:pPr>
      <w:r>
        <w:rPr>
          <w:rFonts w:hint="eastAsia" w:ascii="仿宋_GB2312" w:hAnsi="仿宋_GB2312" w:eastAsia="仿宋_GB2312" w:cs="仿宋_GB2312"/>
          <w:b w:val="0"/>
          <w:bCs w:val="0"/>
          <w:color w:val="333333"/>
          <w:kern w:val="0"/>
          <w:sz w:val="28"/>
          <w:szCs w:val="28"/>
          <w:lang w:eastAsia="zh-CN"/>
        </w:rPr>
        <w:t>尽管我局在今年政府信息公开工作的各方面都进行了有效的改进和提升，但仍然存在一些不足之处。主要体现在：一是工作进展信息的数量还不够多；二是能够适合公开的招商一线信息相对比较少。今后，我局将努力改进不足，争取政府信息公开工作更上新台阶。</w:t>
      </w:r>
    </w:p>
    <w:p>
      <w:pPr>
        <w:widowControl/>
        <w:shd w:val="clear" w:color="auto" w:fill="FFFFFF"/>
        <w:ind w:firstLine="480"/>
        <w:rPr>
          <w:rFonts w:hint="eastAsia" w:ascii="黑体" w:hAnsi="黑体" w:eastAsia="黑体" w:cs="黑体"/>
          <w:color w:val="333333"/>
          <w:kern w:val="0"/>
          <w:sz w:val="28"/>
          <w:szCs w:val="28"/>
        </w:rPr>
      </w:pPr>
      <w:bookmarkStart w:id="0" w:name="_GoBack"/>
      <w:bookmarkEnd w:id="0"/>
    </w:p>
    <w:p>
      <w:pPr>
        <w:widowControl/>
        <w:shd w:val="clear" w:color="auto" w:fill="FFFFFF"/>
        <w:ind w:firstLine="480"/>
        <w:rPr>
          <w:rFonts w:hint="eastAsia" w:ascii="黑体" w:hAnsi="黑体" w:eastAsia="黑体" w:cs="黑体"/>
          <w:color w:val="333333"/>
          <w:kern w:val="0"/>
          <w:sz w:val="28"/>
          <w:szCs w:val="28"/>
        </w:rPr>
      </w:pPr>
      <w:r>
        <w:rPr>
          <w:rFonts w:hint="eastAsia" w:ascii="黑体" w:hAnsi="黑体" w:eastAsia="黑体" w:cs="黑体"/>
          <w:b/>
          <w:bCs/>
          <w:color w:val="333333"/>
          <w:kern w:val="0"/>
          <w:sz w:val="28"/>
          <w:szCs w:val="28"/>
        </w:rPr>
        <w:t>六、其他需要报告的事项</w:t>
      </w:r>
    </w:p>
    <w:p>
      <w:pPr>
        <w:rPr>
          <w:rFonts w:hint="default" w:eastAsiaTheme="minorEastAsia"/>
          <w:sz w:val="28"/>
          <w:szCs w:val="28"/>
          <w:lang w:val="en-US" w:eastAsia="zh-CN"/>
        </w:rPr>
      </w:pPr>
      <w:r>
        <w:rPr>
          <w:rFonts w:hint="eastAsia"/>
          <w:sz w:val="28"/>
          <w:szCs w:val="28"/>
          <w:lang w:val="en-US" w:eastAsia="zh-CN"/>
        </w:rPr>
        <w:t xml:space="preserve"> </w:t>
      </w:r>
      <w:r>
        <w:rPr>
          <w:rFonts w:hint="eastAsia" w:ascii="仿宋_GB2312" w:hAnsi="仿宋_GB2312" w:eastAsia="仿宋_GB2312" w:cs="仿宋_GB2312"/>
          <w:sz w:val="28"/>
          <w:szCs w:val="28"/>
          <w:lang w:val="en-US" w:eastAsia="zh-CN"/>
        </w:rPr>
        <w:t xml:space="preserve">    我局无其它需要报告的事项。</w:t>
      </w:r>
    </w:p>
    <w:sectPr>
      <w:pgSz w:w="11906" w:h="16838"/>
      <w:pgMar w:top="1021" w:right="1797" w:bottom="737"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03D185"/>
    <w:multiLevelType w:val="singleLevel"/>
    <w:tmpl w:val="B203D185"/>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37B"/>
    <w:rsid w:val="0005444E"/>
    <w:rsid w:val="0007005C"/>
    <w:rsid w:val="00967079"/>
    <w:rsid w:val="00B6637B"/>
    <w:rsid w:val="06E2735E"/>
    <w:rsid w:val="142150D9"/>
    <w:rsid w:val="22AC54A0"/>
    <w:rsid w:val="24C30F46"/>
    <w:rsid w:val="2B7C6152"/>
    <w:rsid w:val="3B320232"/>
    <w:rsid w:val="3C321465"/>
    <w:rsid w:val="40817DB5"/>
    <w:rsid w:val="40A64016"/>
    <w:rsid w:val="41341F90"/>
    <w:rsid w:val="47495EF9"/>
    <w:rsid w:val="4FA1032B"/>
    <w:rsid w:val="55DB7F8A"/>
    <w:rsid w:val="5CBE72EF"/>
    <w:rsid w:val="60DB18B7"/>
    <w:rsid w:val="61C053F9"/>
    <w:rsid w:val="61D45DEE"/>
    <w:rsid w:val="638B647A"/>
    <w:rsid w:val="64142CD3"/>
    <w:rsid w:val="65395C5E"/>
    <w:rsid w:val="69D82275"/>
    <w:rsid w:val="6A4B70C9"/>
    <w:rsid w:val="74872A4F"/>
    <w:rsid w:val="76E77342"/>
    <w:rsid w:val="792615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201</Words>
  <Characters>1146</Characters>
  <Lines>9</Lines>
  <Paragraphs>2</Paragraphs>
  <TotalTime>17</TotalTime>
  <ScaleCrop>false</ScaleCrop>
  <LinksUpToDate>false</LinksUpToDate>
  <CharactersWithSpaces>1345</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2019-11-27T02:38:00Z</dcterms:created>
  <dc:creator>freeuser</dc:creator>
  <cp:lastModifiedBy>Administrator</cp:lastModifiedBy>
  <cp:lastPrinted>2020-01-13T06:44:42Z</cp:lastPrinted>
  <dcterms:modified xsi:type="dcterms:W3CDTF">2020-01-13T06:44:44Z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