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50"/>
          <w:szCs w:val="50"/>
        </w:rPr>
      </w:pPr>
      <w:r>
        <w:rPr>
          <w:rFonts w:hint="eastAsia" w:ascii="宋体" w:hAnsi="宋体" w:eastAsia="宋体" w:cs="宋体"/>
          <w:sz w:val="50"/>
          <w:szCs w:val="50"/>
        </w:rPr>
        <w:t>宁波市北仑区人民政府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60"/>
          <w:szCs w:val="60"/>
        </w:rPr>
      </w:pPr>
      <w:r>
        <w:rPr>
          <w:rFonts w:hint="eastAsia" w:ascii="宋体" w:hAnsi="宋体" w:eastAsia="宋体" w:cs="宋体"/>
          <w:sz w:val="60"/>
          <w:szCs w:val="60"/>
        </w:rPr>
        <w:t>行政复议决定书</w:t>
      </w:r>
    </w:p>
    <w:p>
      <w:pPr>
        <w:keepNext w:val="0"/>
        <w:keepLines w:val="0"/>
        <w:pageBreakBefore w:val="0"/>
        <w:widowControl w:val="0"/>
        <w:kinsoku/>
        <w:wordWrap/>
        <w:overflowPunct/>
        <w:topLinePunct w:val="0"/>
        <w:autoSpaceDE/>
        <w:autoSpaceDN/>
        <w:bidi w:val="0"/>
        <w:adjustRightInd/>
        <w:spacing w:line="600" w:lineRule="exact"/>
        <w:ind w:right="320" w:rightChars="100"/>
        <w:jc w:val="right"/>
        <w:textAlignment w:val="auto"/>
        <w:rPr>
          <w:rFonts w:hint="eastAsia" w:ascii="仿宋_GB2312" w:eastAsia="仿宋_GB2312"/>
          <w:sz w:val="32"/>
          <w:szCs w:val="32"/>
        </w:rPr>
      </w:pPr>
      <w:r>
        <w:rPr>
          <w:rFonts w:hint="eastAsia" w:ascii="仿宋_GB2312" w:eastAsia="仿宋_GB2312"/>
          <w:sz w:val="32"/>
          <w:szCs w:val="32"/>
        </w:rPr>
        <w:t>甬仑政复〔20</w:t>
      </w:r>
      <w:r>
        <w:rPr>
          <w:rFonts w:hint="eastAsia"/>
          <w:sz w:val="32"/>
          <w:szCs w:val="32"/>
          <w:lang w:val="en-US" w:eastAsia="zh-CN"/>
        </w:rPr>
        <w:t>23</w:t>
      </w:r>
      <w:r>
        <w:rPr>
          <w:rFonts w:hint="eastAsia" w:ascii="仿宋_GB2312" w:eastAsia="仿宋_GB2312"/>
          <w:sz w:val="32"/>
          <w:szCs w:val="32"/>
        </w:rPr>
        <w:t>〕</w:t>
      </w:r>
      <w:r>
        <w:rPr>
          <w:rFonts w:hint="eastAsia"/>
          <w:sz w:val="32"/>
          <w:szCs w:val="32"/>
          <w:lang w:val="en-US" w:eastAsia="zh-CN"/>
        </w:rPr>
        <w:t>87</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仿宋_GB2312" w:eastAsia="仿宋_GB2312"/>
          <w:sz w:val="32"/>
          <w:szCs w:val="32"/>
          <w:lang w:eastAsia="zh-CN"/>
        </w:rPr>
      </w:pPr>
      <w:r>
        <w:rPr>
          <w:rFonts w:hint="eastAsia" w:ascii="仿宋_GB2312" w:eastAsia="仿宋_GB2312"/>
          <w:sz w:val="32"/>
          <w:szCs w:val="32"/>
        </w:rPr>
        <w:t>申请人：</w:t>
      </w:r>
      <w:r>
        <w:rPr>
          <w:rFonts w:hint="eastAsia"/>
          <w:sz w:val="32"/>
          <w:szCs w:val="32"/>
          <w:lang w:val="en-US" w:eastAsia="zh-CN"/>
        </w:rPr>
        <w:t>王某某</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sz w:val="32"/>
          <w:szCs w:val="32"/>
          <w:lang w:eastAsia="zh-CN"/>
        </w:rPr>
      </w:pPr>
      <w:r>
        <w:rPr>
          <w:rFonts w:hint="eastAsia" w:ascii="仿宋_GB2312" w:eastAsia="仿宋_GB2312"/>
          <w:sz w:val="32"/>
          <w:szCs w:val="32"/>
        </w:rPr>
        <w:t>被申请人：</w:t>
      </w:r>
      <w:r>
        <w:rPr>
          <w:rFonts w:hint="eastAsia"/>
          <w:sz w:val="32"/>
          <w:szCs w:val="32"/>
          <w:lang w:eastAsia="zh-CN"/>
        </w:rPr>
        <w:t>宁波市公安局北仑分局。</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firstLineChars="200"/>
        <w:textAlignment w:val="auto"/>
        <w:outlineLvl w:val="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firstLineChars="200"/>
        <w:textAlignment w:val="auto"/>
        <w:outlineLvl w:val="0"/>
        <w:rPr>
          <w:rFonts w:hint="eastAsia" w:ascii="仿宋_GB2312" w:eastAsia="仿宋_GB2312"/>
          <w:sz w:val="32"/>
          <w:szCs w:val="32"/>
          <w:highlight w:val="none"/>
        </w:rPr>
      </w:pPr>
      <w:r>
        <w:rPr>
          <w:rFonts w:hint="eastAsia" w:ascii="仿宋_GB2312" w:eastAsia="仿宋_GB2312"/>
          <w:sz w:val="32"/>
          <w:szCs w:val="32"/>
        </w:rPr>
        <w:t>申请人</w:t>
      </w:r>
      <w:r>
        <w:rPr>
          <w:rFonts w:hint="eastAsia"/>
          <w:sz w:val="32"/>
          <w:szCs w:val="32"/>
          <w:lang w:val="en-US" w:eastAsia="zh-CN"/>
        </w:rPr>
        <w:t>王某某</w:t>
      </w:r>
      <w:r>
        <w:rPr>
          <w:rFonts w:hint="eastAsia"/>
          <w:sz w:val="32"/>
          <w:szCs w:val="32"/>
          <w:lang w:eastAsia="zh-CN"/>
        </w:rPr>
        <w:t>不服被申请人宁波市公安局北仑分局</w:t>
      </w:r>
      <w:r>
        <w:rPr>
          <w:rFonts w:hint="eastAsia" w:ascii="仿宋_GB2312" w:eastAsia="仿宋_GB2312"/>
          <w:sz w:val="32"/>
          <w:szCs w:val="32"/>
        </w:rPr>
        <w:t>（以下简称</w:t>
      </w:r>
      <w:r>
        <w:rPr>
          <w:rFonts w:hint="eastAsia"/>
          <w:sz w:val="32"/>
          <w:szCs w:val="32"/>
          <w:lang w:eastAsia="zh-CN"/>
        </w:rPr>
        <w:t>北仑公安分局</w:t>
      </w:r>
      <w:r>
        <w:rPr>
          <w:rFonts w:hint="eastAsia" w:ascii="仿宋_GB2312" w:eastAsia="仿宋_GB2312"/>
          <w:sz w:val="32"/>
          <w:szCs w:val="32"/>
        </w:rPr>
        <w:t>）202</w:t>
      </w:r>
      <w:r>
        <w:rPr>
          <w:rFonts w:hint="eastAsia"/>
          <w:sz w:val="32"/>
          <w:szCs w:val="32"/>
          <w:lang w:val="en-US" w:eastAsia="zh-CN"/>
        </w:rPr>
        <w:t>3</w:t>
      </w:r>
      <w:r>
        <w:rPr>
          <w:rFonts w:hint="eastAsia" w:ascii="仿宋_GB2312" w:eastAsia="仿宋_GB2312"/>
          <w:sz w:val="32"/>
          <w:szCs w:val="32"/>
        </w:rPr>
        <w:t>年</w:t>
      </w:r>
      <w:r>
        <w:rPr>
          <w:rFonts w:hint="eastAsia"/>
          <w:sz w:val="32"/>
          <w:szCs w:val="32"/>
          <w:lang w:val="en-US" w:eastAsia="zh-CN"/>
        </w:rPr>
        <w:t>6</w:t>
      </w:r>
      <w:r>
        <w:rPr>
          <w:rFonts w:hint="eastAsia" w:ascii="仿宋_GB2312" w:eastAsia="仿宋_GB2312"/>
          <w:sz w:val="32"/>
          <w:szCs w:val="32"/>
        </w:rPr>
        <w:t>月</w:t>
      </w:r>
      <w:r>
        <w:rPr>
          <w:rFonts w:hint="eastAsia"/>
          <w:sz w:val="32"/>
          <w:szCs w:val="32"/>
          <w:lang w:val="en-US" w:eastAsia="zh-CN"/>
        </w:rPr>
        <w:t>5</w:t>
      </w:r>
      <w:r>
        <w:rPr>
          <w:rFonts w:hint="eastAsia" w:ascii="仿宋_GB2312" w:eastAsia="仿宋_GB2312"/>
          <w:sz w:val="32"/>
          <w:szCs w:val="32"/>
        </w:rPr>
        <w:t>日作出的甬公仑（</w:t>
      </w:r>
      <w:r>
        <w:rPr>
          <w:rFonts w:hint="eastAsia"/>
          <w:sz w:val="32"/>
          <w:szCs w:val="32"/>
          <w:lang w:val="en-US" w:eastAsia="zh-CN"/>
        </w:rPr>
        <w:t>新</w:t>
      </w:r>
      <w:r>
        <w:rPr>
          <w:rFonts w:hint="eastAsia" w:ascii="仿宋_GB2312" w:eastAsia="仿宋_GB2312"/>
          <w:sz w:val="32"/>
          <w:szCs w:val="32"/>
        </w:rPr>
        <w:t>）</w:t>
      </w:r>
      <w:r>
        <w:rPr>
          <w:rFonts w:hint="eastAsia"/>
          <w:sz w:val="32"/>
          <w:szCs w:val="32"/>
          <w:lang w:eastAsia="zh-CN"/>
        </w:rPr>
        <w:t>行</w:t>
      </w:r>
      <w:r>
        <w:rPr>
          <w:rFonts w:hint="eastAsia" w:ascii="仿宋_GB2312" w:eastAsia="仿宋_GB2312"/>
          <w:sz w:val="32"/>
          <w:szCs w:val="32"/>
        </w:rPr>
        <w:t>罚决字[202</w:t>
      </w:r>
      <w:r>
        <w:rPr>
          <w:rFonts w:hint="eastAsia"/>
          <w:sz w:val="32"/>
          <w:szCs w:val="32"/>
          <w:lang w:val="en-US" w:eastAsia="zh-CN"/>
        </w:rPr>
        <w:t>3</w:t>
      </w:r>
      <w:r>
        <w:rPr>
          <w:rFonts w:hint="eastAsia" w:ascii="仿宋_GB2312" w:eastAsia="仿宋_GB2312"/>
          <w:sz w:val="32"/>
          <w:szCs w:val="32"/>
        </w:rPr>
        <w:t>]</w:t>
      </w:r>
      <w:r>
        <w:rPr>
          <w:rFonts w:hint="eastAsia"/>
          <w:sz w:val="32"/>
          <w:szCs w:val="32"/>
          <w:lang w:eastAsia="zh-CN"/>
        </w:rPr>
        <w:t>0</w:t>
      </w:r>
      <w:r>
        <w:rPr>
          <w:rFonts w:hint="eastAsia"/>
          <w:sz w:val="32"/>
          <w:szCs w:val="32"/>
          <w:lang w:val="en-US" w:eastAsia="zh-CN"/>
        </w:rPr>
        <w:t>××××</w:t>
      </w:r>
      <w:r>
        <w:rPr>
          <w:rFonts w:hint="eastAsia" w:ascii="仿宋_GB2312" w:eastAsia="仿宋_GB2312"/>
          <w:sz w:val="32"/>
          <w:szCs w:val="32"/>
        </w:rPr>
        <w:t>号《行政处罚决定书》</w:t>
      </w:r>
      <w:r>
        <w:rPr>
          <w:rFonts w:hint="eastAsia"/>
          <w:sz w:val="32"/>
          <w:szCs w:val="32"/>
          <w:lang w:eastAsia="zh-CN"/>
        </w:rPr>
        <w:t>（以下简称案涉《决定书》），</w:t>
      </w:r>
      <w:r>
        <w:rPr>
          <w:rFonts w:hint="eastAsia" w:ascii="仿宋_GB2312" w:eastAsia="仿宋_GB2312"/>
          <w:sz w:val="32"/>
          <w:szCs w:val="32"/>
        </w:rPr>
        <w:t>于202</w:t>
      </w:r>
      <w:r>
        <w:rPr>
          <w:rFonts w:hint="eastAsia"/>
          <w:sz w:val="32"/>
          <w:szCs w:val="32"/>
          <w:lang w:val="en-US" w:eastAsia="zh-CN"/>
        </w:rPr>
        <w:t>3</w:t>
      </w:r>
      <w:r>
        <w:rPr>
          <w:rFonts w:hint="eastAsia" w:ascii="仿宋_GB2312" w:eastAsia="仿宋_GB2312"/>
          <w:sz w:val="32"/>
          <w:szCs w:val="32"/>
        </w:rPr>
        <w:t>年</w:t>
      </w:r>
      <w:r>
        <w:rPr>
          <w:rFonts w:hint="eastAsia"/>
          <w:sz w:val="32"/>
          <w:szCs w:val="32"/>
          <w:lang w:val="en-US" w:eastAsia="zh-CN"/>
        </w:rPr>
        <w:t>6</w:t>
      </w:r>
      <w:r>
        <w:rPr>
          <w:rFonts w:hint="eastAsia" w:ascii="仿宋_GB2312" w:eastAsia="仿宋_GB2312"/>
          <w:sz w:val="32"/>
          <w:szCs w:val="32"/>
        </w:rPr>
        <w:t>月</w:t>
      </w:r>
      <w:r>
        <w:rPr>
          <w:rFonts w:hint="eastAsia"/>
          <w:sz w:val="32"/>
          <w:szCs w:val="32"/>
          <w:lang w:val="en-US" w:eastAsia="zh-CN"/>
        </w:rPr>
        <w:t>16</w:t>
      </w:r>
      <w:r>
        <w:rPr>
          <w:rFonts w:hint="eastAsia" w:ascii="仿宋_GB2312" w:eastAsia="仿宋_GB2312"/>
          <w:sz w:val="32"/>
          <w:szCs w:val="32"/>
        </w:rPr>
        <w:t>日</w:t>
      </w:r>
      <w:r>
        <w:rPr>
          <w:rFonts w:hint="eastAsia"/>
          <w:sz w:val="32"/>
          <w:szCs w:val="32"/>
          <w:lang w:eastAsia="zh-CN"/>
        </w:rPr>
        <w:t>向本机关提出行政复议申请</w:t>
      </w:r>
      <w:r>
        <w:rPr>
          <w:rFonts w:hint="eastAsia" w:ascii="仿宋_GB2312" w:eastAsia="仿宋_GB2312"/>
          <w:sz w:val="32"/>
          <w:szCs w:val="32"/>
        </w:rPr>
        <w:t>，本机关予以受理。</w:t>
      </w:r>
      <w:r>
        <w:rPr>
          <w:rFonts w:hint="eastAsia" w:ascii="仿宋_GB2312" w:eastAsia="仿宋_GB2312"/>
          <w:sz w:val="32"/>
          <w:szCs w:val="32"/>
          <w:highlight w:val="none"/>
        </w:rPr>
        <w:t>本案现已审理终结。</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firstLineChars="200"/>
        <w:textAlignment w:val="auto"/>
        <w:outlineLvl w:val="0"/>
        <w:rPr>
          <w:rFonts w:hint="default" w:ascii="仿宋_GB2312" w:eastAsia="仿宋_GB2312" w:cs="Times New Roman"/>
          <w:color w:val="auto"/>
          <w:sz w:val="32"/>
          <w:szCs w:val="32"/>
          <w:lang w:val="en-US" w:eastAsia="zh-CN"/>
        </w:rPr>
      </w:pPr>
      <w:r>
        <w:rPr>
          <w:rFonts w:hint="eastAsia" w:ascii="仿宋_GB2312" w:eastAsia="仿宋_GB2312"/>
          <w:sz w:val="32"/>
          <w:szCs w:val="32"/>
        </w:rPr>
        <w:t>申请人称：</w:t>
      </w:r>
      <w:r>
        <w:rPr>
          <w:rFonts w:hint="eastAsia"/>
          <w:sz w:val="32"/>
          <w:szCs w:val="32"/>
          <w:lang w:eastAsia="zh-CN"/>
        </w:rPr>
        <w:t>案涉《决定书》</w:t>
      </w:r>
      <w:r>
        <w:rPr>
          <w:rFonts w:hint="eastAsia"/>
          <w:sz w:val="32"/>
          <w:szCs w:val="32"/>
          <w:lang w:val="en-US" w:eastAsia="zh-CN"/>
        </w:rPr>
        <w:t>中关于申请人违法经历记载其2020年6月8日因殴打他人被拘留，处罚原因表述有误，应是损坏公物；申请人与刘某某发生冲突的原因是刘某某撕毁申请人的上访材料，扰乱上访；申请人与刘某某之间为家庭琐事纠纷，处罚过重。</w:t>
      </w:r>
      <w:r>
        <w:rPr>
          <w:rFonts w:hint="eastAsia"/>
          <w:sz w:val="32"/>
          <w:szCs w:val="32"/>
          <w:lang w:eastAsia="zh-CN"/>
        </w:rPr>
        <w:t>故申请行政复议，请求：</w:t>
      </w:r>
      <w:r>
        <w:rPr>
          <w:rFonts w:hint="eastAsia"/>
          <w:sz w:val="32"/>
          <w:szCs w:val="32"/>
          <w:lang w:val="en-US" w:eastAsia="zh-CN"/>
        </w:rPr>
        <w:t>一、</w:t>
      </w:r>
      <w:r>
        <w:rPr>
          <w:rFonts w:hint="eastAsia"/>
          <w:sz w:val="32"/>
          <w:szCs w:val="32"/>
          <w:lang w:eastAsia="zh-CN"/>
        </w:rPr>
        <w:t>加强对信访部门的管理；</w:t>
      </w:r>
      <w:r>
        <w:rPr>
          <w:rFonts w:hint="eastAsia"/>
          <w:sz w:val="32"/>
          <w:szCs w:val="32"/>
          <w:lang w:val="en-US" w:eastAsia="zh-CN"/>
        </w:rPr>
        <w:t>二、</w:t>
      </w:r>
      <w:r>
        <w:rPr>
          <w:rFonts w:hint="eastAsia"/>
          <w:sz w:val="32"/>
          <w:szCs w:val="32"/>
          <w:lang w:eastAsia="zh-CN"/>
        </w:rPr>
        <w:t>撤销案涉《决定书》中对申请人的罚款决定；</w:t>
      </w:r>
      <w:r>
        <w:rPr>
          <w:rFonts w:hint="eastAsia"/>
          <w:sz w:val="32"/>
          <w:szCs w:val="32"/>
          <w:lang w:val="en-US" w:eastAsia="zh-CN"/>
        </w:rPr>
        <w:t>三、</w:t>
      </w:r>
      <w:r>
        <w:rPr>
          <w:rFonts w:hint="eastAsia"/>
          <w:sz w:val="32"/>
          <w:szCs w:val="32"/>
          <w:lang w:eastAsia="zh-CN"/>
        </w:rPr>
        <w:t>对刘某某寻衅滋事的行为处以拘留。</w:t>
      </w:r>
      <w:r>
        <w:rPr>
          <w:rFonts w:hint="eastAsia"/>
          <w:color w:val="auto"/>
          <w:sz w:val="32"/>
          <w:szCs w:val="32"/>
          <w:lang w:val="en-US" w:eastAsia="zh-CN"/>
        </w:rPr>
        <w:t>申请人向本机关提供了相关证据材料。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firstLineChars="200"/>
        <w:textAlignment w:val="auto"/>
        <w:outlineLvl w:val="0"/>
        <w:rPr>
          <w:rFonts w:hint="default" w:ascii="仿宋_GB2312" w:eastAsia="仿宋_GB2312" w:cs="Times New Roman"/>
          <w:color w:val="auto"/>
          <w:sz w:val="32"/>
          <w:szCs w:val="32"/>
          <w:lang w:val="en-US" w:eastAsia="zh-CN"/>
        </w:rPr>
      </w:pPr>
      <w:r>
        <w:rPr>
          <w:rFonts w:hint="eastAsia" w:ascii="仿宋_GB2312" w:eastAsia="仿宋_GB2312"/>
          <w:sz w:val="32"/>
          <w:szCs w:val="32"/>
        </w:rPr>
        <w:t>被申请人答复称</w:t>
      </w:r>
      <w:r>
        <w:rPr>
          <w:rFonts w:hint="eastAsia"/>
          <w:sz w:val="32"/>
          <w:szCs w:val="32"/>
          <w:lang w:eastAsia="zh-CN"/>
        </w:rPr>
        <w:t>：</w:t>
      </w:r>
      <w:r>
        <w:rPr>
          <w:rFonts w:hint="eastAsia"/>
          <w:sz w:val="32"/>
          <w:szCs w:val="32"/>
          <w:lang w:val="en-US" w:eastAsia="zh-CN"/>
        </w:rPr>
        <w:t>关于申请人提出的复议理由，被申请人认为：一、申请人的违法经历在行政处罚审批时已作为证据附卷，</w:t>
      </w:r>
      <w:r>
        <w:rPr>
          <w:rFonts w:hint="eastAsia"/>
          <w:sz w:val="32"/>
          <w:szCs w:val="32"/>
          <w:lang w:eastAsia="zh-CN"/>
        </w:rPr>
        <w:t>案涉《决定书》</w:t>
      </w:r>
      <w:r>
        <w:rPr>
          <w:rFonts w:hint="eastAsia"/>
          <w:sz w:val="32"/>
          <w:szCs w:val="32"/>
          <w:lang w:val="en-US" w:eastAsia="zh-CN"/>
        </w:rPr>
        <w:t>系填写错误，被申请人已及时纠正，但并不影响本次违法行为的认定；二、申请人提出的冲突原因与其上访相关内容，并不影响对其殴打他人行为的认定；三、作处罚时已充分考虑申请人与刘某某之间的夫妻关系现状。</w:t>
      </w:r>
      <w:r>
        <w:rPr>
          <w:rFonts w:hint="eastAsia"/>
          <w:color w:val="auto"/>
          <w:sz w:val="32"/>
          <w:szCs w:val="32"/>
          <w:lang w:val="en-US" w:eastAsia="zh-CN"/>
        </w:rPr>
        <w:t>被申请人向本机关提供了相关证据材料</w:t>
      </w:r>
      <w:r>
        <w:rPr>
          <w:rFonts w:hint="eastAsia" w:cs="仿宋_GB2312"/>
          <w:color w:val="auto"/>
          <w:sz w:val="32"/>
          <w:szCs w:val="32"/>
          <w:lang w:eastAsia="zh-CN"/>
        </w:rPr>
        <w:t>和依据</w:t>
      </w:r>
      <w:r>
        <w:rPr>
          <w:rFonts w:hint="eastAsia"/>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仿宋_GB2312" w:eastAsia="仿宋_GB2312"/>
          <w:sz w:val="32"/>
          <w:szCs w:val="32"/>
        </w:rPr>
      </w:pPr>
      <w:r>
        <w:rPr>
          <w:rFonts w:hint="eastAsia" w:ascii="仿宋_GB2312" w:eastAsia="仿宋_GB2312"/>
          <w:sz w:val="32"/>
          <w:szCs w:val="32"/>
        </w:rPr>
        <w:t>经审理查明：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sz w:val="32"/>
          <w:szCs w:val="32"/>
          <w:lang w:val="en-US" w:eastAsia="zh-CN"/>
        </w:rPr>
      </w:pPr>
      <w:r>
        <w:rPr>
          <w:rFonts w:hint="eastAsia"/>
          <w:sz w:val="32"/>
          <w:szCs w:val="32"/>
          <w:lang w:val="en-US" w:eastAsia="zh-CN"/>
        </w:rPr>
        <w:t>申请人王某某具有“2020年1月27日因殴打他人被宁波市公安局北仑分局行政拘留七日并处罚款二百元；2020年6月8日因扰乱单位秩序被宁波市公安局北仑分局行政拘留十日”的违法经历。其与刘某某系夫妻关系。2023年6月5日8时59分许，被申请人接到刘某某报案称其在北仑区某街道信访大厅被人殴打。遂民警赶往现场，并将报警人刘某某、违法行为人王某某带入新碶派出所办案区接受进一步调查。调查发现，2023年6月5日8时50分许，申请人王某某在信访局接待大厅因琐事与其丈夫刘某某发生纠纷，后王某某通过扇耳光等方式对刘某某进行殴打；2023年6月5日9时30分许，王某某在新碶派出所调解大厅再次与刘某某发生冲突，并通过扇耳光等方式对刘某某进行殴打。同日，刘某某放弃对因本案造成的伤情进行鉴定。2023年6月5日，被申请人作出案涉</w:t>
      </w:r>
      <w:r>
        <w:rPr>
          <w:rFonts w:hint="eastAsia" w:ascii="仿宋_GB2312" w:eastAsia="仿宋_GB2312"/>
          <w:sz w:val="32"/>
          <w:szCs w:val="32"/>
        </w:rPr>
        <w:t>《决定书》</w:t>
      </w:r>
      <w:r>
        <w:rPr>
          <w:rFonts w:hint="eastAsia"/>
          <w:sz w:val="32"/>
          <w:szCs w:val="32"/>
          <w:lang w:val="en-US" w:eastAsia="zh-CN"/>
        </w:rPr>
        <w:t>，给予王某某</w:t>
      </w:r>
      <w:r>
        <w:rPr>
          <w:rFonts w:hint="eastAsia" w:ascii="仿宋_GB2312" w:eastAsia="仿宋_GB2312"/>
          <w:sz w:val="32"/>
          <w:szCs w:val="32"/>
        </w:rPr>
        <w:t>拘留</w:t>
      </w:r>
      <w:r>
        <w:rPr>
          <w:rFonts w:hint="eastAsia"/>
          <w:sz w:val="32"/>
          <w:szCs w:val="32"/>
          <w:lang w:val="en-US" w:eastAsia="zh-CN"/>
        </w:rPr>
        <w:t>八</w:t>
      </w:r>
      <w:r>
        <w:rPr>
          <w:rFonts w:hint="eastAsia" w:ascii="仿宋_GB2312" w:eastAsia="仿宋_GB2312"/>
          <w:sz w:val="32"/>
          <w:szCs w:val="32"/>
        </w:rPr>
        <w:t>日并处罚款二百元的</w:t>
      </w:r>
      <w:r>
        <w:rPr>
          <w:rFonts w:hint="eastAsia"/>
          <w:sz w:val="32"/>
          <w:szCs w:val="32"/>
          <w:lang w:eastAsia="zh-CN"/>
        </w:rPr>
        <w:t>行政</w:t>
      </w:r>
      <w:r>
        <w:rPr>
          <w:rFonts w:hint="eastAsia" w:ascii="仿宋_GB2312" w:eastAsia="仿宋_GB2312"/>
          <w:sz w:val="32"/>
          <w:szCs w:val="32"/>
        </w:rPr>
        <w:t>处罚</w:t>
      </w:r>
      <w:r>
        <w:rPr>
          <w:rFonts w:hint="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default" w:ascii="仿宋_GB2312" w:eastAsia="仿宋_GB2312"/>
          <w:sz w:val="32"/>
          <w:szCs w:val="32"/>
          <w:lang w:val="en-US" w:eastAsia="zh-CN"/>
        </w:rPr>
      </w:pPr>
      <w:r>
        <w:rPr>
          <w:rFonts w:hint="eastAsia"/>
          <w:sz w:val="32"/>
          <w:szCs w:val="32"/>
          <w:lang w:val="en-US" w:eastAsia="zh-CN"/>
        </w:rPr>
        <w:t>以上事实有受案登记表、受案回执、归案经过、询问笔录、延长询问查证时间审批表、民警警察证、接受证据材料清单及自述材料、体表原始伤情记录表及伤势照片、放弃伤情鉴定确认书、民事争议权力告知书、身份资料、证据保全决定书及清单、行政处罚告知笔录、行政处罚审批表、行政处罚决定书、送达回执、调查取证通知书及监控视频、行政拘留家属通知书等证据证实。</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仿宋_GB2312" w:eastAsia="仿宋_GB2312"/>
          <w:sz w:val="32"/>
          <w:szCs w:val="32"/>
          <w:lang w:val="en-US" w:eastAsia="zh-CN"/>
        </w:rPr>
      </w:pPr>
      <w:r>
        <w:rPr>
          <w:rFonts w:hint="eastAsia"/>
          <w:sz w:val="32"/>
          <w:szCs w:val="32"/>
          <w:lang w:val="en-US" w:eastAsia="zh-CN"/>
        </w:rPr>
        <w:t>本机关认为，</w:t>
      </w:r>
      <w:r>
        <w:rPr>
          <w:rFonts w:hint="eastAsia" w:ascii="仿宋_GB2312" w:eastAsia="仿宋_GB2312"/>
          <w:sz w:val="32"/>
          <w:szCs w:val="32"/>
        </w:rPr>
        <w:t>根据《中华人民共和国治安管理处罚法》第七条第一款、第九十五条的规定，</w:t>
      </w:r>
      <w:r>
        <w:rPr>
          <w:rFonts w:hint="eastAsia"/>
          <w:sz w:val="32"/>
          <w:szCs w:val="32"/>
          <w:lang w:val="en-US" w:eastAsia="zh-CN"/>
        </w:rPr>
        <w:t>被申请人北仑公安分局作为县级人民政府公安机关，负责本行政区域内的治安管理工作，具有作出案涉行政处罚决定的法定职权。综合全案，被申请人对申请人王某某两次殴打他人的事实清楚、证据确实，被申请人作出处罚的依据充分、量罚得当、程序合法，对其要求撤销罚款处罚的复议申请不予支持。案涉《决定书》中对违法经历的事因记载错误，应以本复议决定书事实部分认定为准，但仅此细节尚不影响对本案的处理。申请人关于“</w:t>
      </w:r>
      <w:r>
        <w:rPr>
          <w:rFonts w:hint="eastAsia"/>
          <w:sz w:val="32"/>
          <w:szCs w:val="32"/>
          <w:lang w:eastAsia="zh-CN"/>
        </w:rPr>
        <w:t>加强对信访部门的管理</w:t>
      </w:r>
      <w:r>
        <w:rPr>
          <w:rFonts w:hint="eastAsia"/>
          <w:sz w:val="32"/>
          <w:szCs w:val="32"/>
          <w:lang w:val="en-US" w:eastAsia="zh-CN"/>
        </w:rPr>
        <w:t>”的请求，不属于行政复议机关受理范围；其关于“</w:t>
      </w:r>
      <w:r>
        <w:rPr>
          <w:rFonts w:hint="eastAsia"/>
          <w:sz w:val="32"/>
          <w:szCs w:val="32"/>
          <w:lang w:eastAsia="zh-CN"/>
        </w:rPr>
        <w:t>对刘某某寻衅滋事的行为处以拘留</w:t>
      </w:r>
      <w:r>
        <w:rPr>
          <w:rFonts w:hint="eastAsia"/>
          <w:sz w:val="32"/>
          <w:szCs w:val="32"/>
          <w:lang w:val="en-US" w:eastAsia="zh-CN"/>
        </w:rPr>
        <w:t>”的请求，属于“另一事项”，应当另案解决，在本案中不予处理，本机关已在本案立案审查时做笔录告知。</w:t>
      </w:r>
      <w:r>
        <w:rPr>
          <w:rFonts w:hint="eastAsia"/>
          <w:sz w:val="32"/>
          <w:szCs w:val="32"/>
          <w:lang w:eastAsia="zh-CN"/>
        </w:rPr>
        <w:t>根据《中华人民共和国行政复议法》第二十八条第一款第（一）项之规定，</w:t>
      </w:r>
      <w:r>
        <w:rPr>
          <w:rFonts w:hint="eastAsia"/>
          <w:sz w:val="32"/>
          <w:szCs w:val="32"/>
          <w:lang w:val="en-US" w:eastAsia="zh-CN"/>
        </w:rPr>
        <w:t>决定如下：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sz w:val="32"/>
          <w:szCs w:val="32"/>
          <w:lang w:eastAsia="zh-CN"/>
        </w:rPr>
      </w:pPr>
      <w:r>
        <w:rPr>
          <w:rFonts w:hint="eastAsia"/>
          <w:sz w:val="32"/>
          <w:szCs w:val="32"/>
          <w:lang w:eastAsia="zh-CN"/>
        </w:rPr>
        <w:t>维持被申请人宁波市公安局北仑分局</w:t>
      </w:r>
      <w:r>
        <w:rPr>
          <w:rFonts w:hint="eastAsia" w:ascii="仿宋_GB2312" w:eastAsia="仿宋_GB2312"/>
          <w:sz w:val="32"/>
          <w:szCs w:val="32"/>
        </w:rPr>
        <w:t>作出的甬公仑（</w:t>
      </w:r>
      <w:r>
        <w:rPr>
          <w:rFonts w:hint="eastAsia"/>
          <w:sz w:val="32"/>
          <w:szCs w:val="32"/>
          <w:lang w:val="en-US" w:eastAsia="zh-CN"/>
        </w:rPr>
        <w:t>新</w:t>
      </w:r>
      <w:r>
        <w:rPr>
          <w:rFonts w:hint="eastAsia" w:ascii="仿宋_GB2312" w:eastAsia="仿宋_GB2312"/>
          <w:sz w:val="32"/>
          <w:szCs w:val="32"/>
        </w:rPr>
        <w:t>）</w:t>
      </w:r>
      <w:r>
        <w:rPr>
          <w:rFonts w:hint="eastAsia"/>
          <w:sz w:val="32"/>
          <w:szCs w:val="32"/>
          <w:lang w:eastAsia="zh-CN"/>
        </w:rPr>
        <w:t>行</w:t>
      </w:r>
      <w:r>
        <w:rPr>
          <w:rFonts w:hint="eastAsia" w:ascii="仿宋_GB2312" w:eastAsia="仿宋_GB2312"/>
          <w:sz w:val="32"/>
          <w:szCs w:val="32"/>
        </w:rPr>
        <w:t>罚决字[202</w:t>
      </w:r>
      <w:r>
        <w:rPr>
          <w:rFonts w:hint="eastAsia"/>
          <w:sz w:val="32"/>
          <w:szCs w:val="32"/>
          <w:lang w:val="en-US" w:eastAsia="zh-CN"/>
        </w:rPr>
        <w:t>3</w:t>
      </w:r>
      <w:r>
        <w:rPr>
          <w:rFonts w:hint="eastAsia" w:ascii="仿宋_GB2312" w:eastAsia="仿宋_GB2312"/>
          <w:sz w:val="32"/>
          <w:szCs w:val="32"/>
        </w:rPr>
        <w:t>]</w:t>
      </w:r>
      <w:r>
        <w:rPr>
          <w:rFonts w:hint="eastAsia"/>
          <w:sz w:val="32"/>
          <w:szCs w:val="32"/>
          <w:lang w:eastAsia="zh-CN"/>
        </w:rPr>
        <w:t>0</w:t>
      </w:r>
      <w:r>
        <w:rPr>
          <w:rFonts w:hint="eastAsia"/>
          <w:sz w:val="32"/>
          <w:szCs w:val="32"/>
          <w:lang w:val="en-US" w:eastAsia="zh-CN"/>
        </w:rPr>
        <w:t>××××</w:t>
      </w:r>
      <w:bookmarkStart w:id="0" w:name="_GoBack"/>
      <w:bookmarkEnd w:id="0"/>
      <w:r>
        <w:rPr>
          <w:rFonts w:hint="eastAsia" w:ascii="仿宋_GB2312" w:eastAsia="仿宋_GB2312"/>
          <w:sz w:val="32"/>
          <w:szCs w:val="32"/>
        </w:rPr>
        <w:t>号《行政处罚决定书》</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仿宋_GB2312" w:eastAsia="仿宋_GB2312"/>
          <w:sz w:val="32"/>
          <w:szCs w:val="32"/>
        </w:rPr>
      </w:pPr>
      <w:r>
        <w:rPr>
          <w:rFonts w:hint="eastAsia" w:ascii="仿宋_GB2312" w:eastAsia="仿宋_GB2312"/>
          <w:sz w:val="32"/>
          <w:szCs w:val="32"/>
        </w:rPr>
        <w:t>申请人如不服本决定，可以自收到本行政复议决定书之日起15日内，依法向人民法院提起行政诉讼。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1120" w:rightChars="350"/>
        <w:jc w:val="righ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2023年7月</w:t>
      </w:r>
      <w:r>
        <w:rPr>
          <w:rFonts w:hint="eastAsia"/>
          <w:sz w:val="32"/>
          <w:szCs w:val="32"/>
          <w:lang w:val="en-US" w:eastAsia="zh-CN"/>
        </w:rPr>
        <w:t>24</w:t>
      </w:r>
      <w:r>
        <w:rPr>
          <w:rFonts w:hint="eastAsia" w:ascii="仿宋_GB2312" w:eastAsia="仿宋_GB2312"/>
          <w:sz w:val="32"/>
          <w:szCs w:val="32"/>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zU4NzI4NmE0Yzc2Y2Y5OTQzMmIxNjJmMGZhZWQifQ=="/>
  </w:docVars>
  <w:rsids>
    <w:rsidRoot w:val="0B9A5FEC"/>
    <w:rsid w:val="0B9A5FEC"/>
    <w:rsid w:val="0CC87530"/>
    <w:rsid w:val="14D21F3B"/>
    <w:rsid w:val="25351D42"/>
    <w:rsid w:val="313D54AA"/>
    <w:rsid w:val="335C05C6"/>
    <w:rsid w:val="3B384408"/>
    <w:rsid w:val="3BBA1556"/>
    <w:rsid w:val="403C611D"/>
    <w:rsid w:val="4275683E"/>
    <w:rsid w:val="4DA40E83"/>
    <w:rsid w:val="636F4B00"/>
    <w:rsid w:val="696E2E1B"/>
    <w:rsid w:val="6E932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仿宋_GB2312" w:eastAsia="仿宋_GB2312" w:cs="Times New Roman"/>
      <w:kern w:val="2"/>
      <w:sz w:val="32"/>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2023-07-18T03:15:00Z</dcterms:created>
  <dc:creator>WPS_1654269248</dc:creator>
  <cp:lastModifiedBy>Administrator</cp:lastModifiedBy>
  <dcterms:modified xsi:type="dcterms:W3CDTF">2024-03-26T02:50:48Z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8B0D768B32F845749F2C578B3C31E2C4_11</vt:lpwstr>
  </property>
</Properties>
</file>