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宁波市北仑区审计</w:t>
      </w:r>
      <w:r>
        <w:rPr>
          <w:rFonts w:hint="eastAsia" w:ascii="方正小标宋简体" w:hAnsi="方正小标宋简体" w:eastAsia="方正小标宋简体"/>
          <w:kern w:val="0"/>
          <w:sz w:val="44"/>
          <w:szCs w:val="44"/>
        </w:rPr>
        <w:t>局</w:t>
      </w:r>
    </w:p>
    <w:p>
      <w:pPr>
        <w:spacing w:line="600" w:lineRule="exact"/>
        <w:jc w:val="center"/>
        <w:rPr>
          <w:rFonts w:hint="eastAsia" w:ascii="黑体" w:eastAsia="黑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年度</w:t>
      </w:r>
      <w:r>
        <w:rPr>
          <w:rFonts w:hint="eastAsia" w:ascii="方正小标宋简体" w:hAnsi="华文中宋" w:eastAsia="方正小标宋简体"/>
          <w:sz w:val="44"/>
          <w:szCs w:val="44"/>
        </w:rPr>
        <w:t>政府信息公开工作年度报告</w:t>
      </w:r>
    </w:p>
    <w:p>
      <w:pPr>
        <w:spacing w:line="600" w:lineRule="exact"/>
        <w:ind w:firstLine="640" w:firstLineChars="200"/>
        <w:jc w:val="center"/>
        <w:rPr>
          <w:rFonts w:hint="eastAsia" w:ascii="仿宋_GB2312" w:eastAsia="仿宋_GB2312"/>
          <w:sz w:val="32"/>
          <w:szCs w:val="32"/>
        </w:rPr>
      </w:pPr>
    </w:p>
    <w:p>
      <w:pPr>
        <w:widowControl/>
        <w:spacing w:line="480" w:lineRule="atLeas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根据《中华人民共和国政府信息公开条例》（国务院令第711号）（以下简称《条例》）和《国务院办公厅政府信息与政务公开办公室关于政府信息公开工作年度报告有关事项的通知》（国办公开办函〔2019〕60号）</w:t>
      </w:r>
      <w:r>
        <w:rPr>
          <w:rFonts w:hint="eastAsia" w:ascii="仿宋_GB2312" w:hAnsi="Arial" w:eastAsia="仿宋_GB2312" w:cs="Arial"/>
          <w:kern w:val="0"/>
          <w:sz w:val="32"/>
          <w:szCs w:val="32"/>
          <w:lang w:eastAsia="zh-CN"/>
        </w:rPr>
        <w:t>及</w:t>
      </w:r>
      <w:r>
        <w:rPr>
          <w:rFonts w:hint="eastAsia" w:ascii="仿宋_GB2312" w:hAnsi="Arial" w:eastAsia="仿宋_GB2312" w:cs="Arial"/>
          <w:kern w:val="0"/>
          <w:sz w:val="32"/>
          <w:szCs w:val="32"/>
        </w:rPr>
        <w:t>《宁波市政府信息公开规定》（以下简称《规定》）要求，对20</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年度北仑区审计局信息公开情况进行报告。本年报所列数据的统计期限自20</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年1月1日起至20</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年12月31日止。</w:t>
      </w:r>
    </w:p>
    <w:p>
      <w:pPr>
        <w:widowControl/>
        <w:spacing w:line="480" w:lineRule="atLeast"/>
        <w:ind w:firstLine="640" w:firstLineChars="200"/>
        <w:jc w:val="left"/>
        <w:rPr>
          <w:rFonts w:hint="eastAsia" w:ascii="黑体" w:hAnsi="黑体" w:eastAsia="黑体" w:cs="Arial"/>
          <w:kern w:val="0"/>
          <w:sz w:val="32"/>
          <w:szCs w:val="32"/>
        </w:rPr>
      </w:pPr>
      <w:r>
        <w:rPr>
          <w:rFonts w:hint="eastAsia" w:ascii="黑体" w:hAnsi="黑体" w:eastAsia="黑体" w:cs="Arial"/>
          <w:kern w:val="0"/>
          <w:sz w:val="32"/>
          <w:szCs w:val="32"/>
        </w:rPr>
        <w:t>一、总体情况</w:t>
      </w:r>
    </w:p>
    <w:p>
      <w:pPr>
        <w:widowControl/>
        <w:spacing w:line="480" w:lineRule="atLeast"/>
        <w:ind w:firstLine="640" w:firstLineChars="200"/>
        <w:jc w:val="left"/>
        <w:rPr>
          <w:rFonts w:hint="eastAsia" w:ascii="仿宋_GB2312" w:hAnsi="Arial" w:eastAsia="仿宋_GB2312" w:cs="Arial"/>
          <w:kern w:val="0"/>
          <w:sz w:val="32"/>
          <w:szCs w:val="32"/>
          <w:lang w:eastAsia="zh-CN"/>
        </w:rPr>
      </w:pPr>
      <w:r>
        <w:rPr>
          <w:rFonts w:hint="eastAsia" w:ascii="仿宋_GB2312" w:hAnsi="Arial" w:eastAsia="仿宋_GB2312" w:cs="Arial"/>
          <w:kern w:val="0"/>
          <w:sz w:val="32"/>
          <w:szCs w:val="32"/>
          <w:lang w:eastAsia="zh-CN"/>
        </w:rPr>
        <w:t>区审计</w:t>
      </w:r>
      <w:r>
        <w:rPr>
          <w:rFonts w:hint="eastAsia" w:ascii="仿宋_GB2312" w:hAnsi="Arial" w:eastAsia="仿宋_GB2312" w:cs="Arial"/>
          <w:kern w:val="0"/>
          <w:sz w:val="32"/>
          <w:szCs w:val="32"/>
        </w:rPr>
        <w:t>局</w:t>
      </w:r>
      <w:r>
        <w:rPr>
          <w:rFonts w:hint="eastAsia" w:ascii="仿宋_GB2312" w:hAnsi="Arial" w:eastAsia="仿宋_GB2312" w:cs="Arial"/>
          <w:kern w:val="0"/>
          <w:sz w:val="32"/>
          <w:szCs w:val="32"/>
          <w:lang w:eastAsia="zh-CN"/>
        </w:rPr>
        <w:t>能充分认识政务信息公开的重大意义</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实行政务公开，让人民了解政府的工作，参与政府的决策，监督政府依法行政，是加强民主政治建设的重要内容。</w:t>
      </w:r>
    </w:p>
    <w:p>
      <w:pPr>
        <w:widowControl/>
        <w:numPr>
          <w:ilvl w:val="0"/>
          <w:numId w:val="0"/>
        </w:numPr>
        <w:spacing w:line="480" w:lineRule="atLeast"/>
        <w:ind w:firstLine="640" w:firstLineChars="200"/>
        <w:jc w:val="left"/>
        <w:rPr>
          <w:rFonts w:hint="eastAsia" w:ascii="仿宋_GB2312" w:hAnsi="Arial" w:eastAsia="仿宋_GB2312" w:cs="Arial"/>
          <w:kern w:val="0"/>
          <w:sz w:val="32"/>
          <w:szCs w:val="32"/>
        </w:rPr>
      </w:pPr>
      <w:r>
        <w:rPr>
          <w:rFonts w:hint="eastAsia" w:ascii="楷体_GB2312" w:hAnsi="楷体_GB2312" w:eastAsia="楷体_GB2312" w:cs="楷体_GB2312"/>
          <w:i w:val="0"/>
          <w:iCs/>
          <w:kern w:val="0"/>
          <w:sz w:val="32"/>
          <w:szCs w:val="32"/>
          <w:lang w:eastAsia="zh-CN"/>
        </w:rPr>
        <w:t>（一）主动公开。</w:t>
      </w:r>
      <w:r>
        <w:rPr>
          <w:rFonts w:hint="eastAsia" w:ascii="仿宋_GB2312" w:hAnsi="Arial" w:eastAsia="仿宋_GB2312" w:cs="Arial"/>
          <w:kern w:val="0"/>
          <w:sz w:val="32"/>
          <w:szCs w:val="32"/>
        </w:rPr>
        <w:t>20</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lang w:eastAsia="zh-CN"/>
        </w:rPr>
        <w:t>，区审计局围绕便于群众知情、监督，通过区政府</w:t>
      </w:r>
      <w:r>
        <w:rPr>
          <w:rFonts w:hint="eastAsia" w:ascii="仿宋_GB2312" w:hAnsi="Arial" w:eastAsia="仿宋_GB2312" w:cs="Arial"/>
          <w:kern w:val="0"/>
          <w:sz w:val="32"/>
          <w:szCs w:val="32"/>
        </w:rPr>
        <w:t>信息公开平台主动公开政府信息</w:t>
      </w:r>
      <w:r>
        <w:rPr>
          <w:rFonts w:hint="eastAsia" w:ascii="仿宋_GB2312" w:hAnsi="Arial" w:eastAsia="仿宋_GB2312" w:cs="Arial"/>
          <w:kern w:val="0"/>
          <w:sz w:val="32"/>
          <w:szCs w:val="32"/>
          <w:lang w:val="en-US" w:eastAsia="zh-CN"/>
        </w:rPr>
        <w:t>52</w:t>
      </w:r>
      <w:r>
        <w:rPr>
          <w:rFonts w:hint="eastAsia" w:ascii="仿宋_GB2312" w:hAnsi="Arial" w:eastAsia="仿宋_GB2312" w:cs="Arial"/>
          <w:kern w:val="0"/>
          <w:sz w:val="32"/>
          <w:szCs w:val="32"/>
        </w:rPr>
        <w:t>条，</w:t>
      </w:r>
      <w:r>
        <w:rPr>
          <w:rFonts w:hint="eastAsia" w:ascii="仿宋_GB2312" w:hAnsi="Arial" w:eastAsia="仿宋_GB2312" w:cs="Arial"/>
          <w:kern w:val="0"/>
          <w:sz w:val="32"/>
          <w:szCs w:val="32"/>
          <w:lang w:eastAsia="zh-CN"/>
        </w:rPr>
        <w:t>同时，</w:t>
      </w:r>
      <w:r>
        <w:rPr>
          <w:rFonts w:hint="eastAsia" w:ascii="仿宋_GB2312" w:hAnsi="Arial" w:eastAsia="仿宋_GB2312" w:cs="Arial"/>
          <w:kern w:val="0"/>
          <w:sz w:val="32"/>
          <w:szCs w:val="32"/>
        </w:rPr>
        <w:t>通过</w:t>
      </w:r>
      <w:r>
        <w:rPr>
          <w:rFonts w:hint="eastAsia" w:ascii="仿宋_GB2312" w:hAnsi="Arial" w:eastAsia="仿宋_GB2312" w:cs="Arial"/>
          <w:kern w:val="0"/>
          <w:sz w:val="32"/>
          <w:szCs w:val="32"/>
          <w:lang w:eastAsia="zh-CN"/>
        </w:rPr>
        <w:t>宁波市审计局</w:t>
      </w:r>
      <w:r>
        <w:rPr>
          <w:rFonts w:hint="eastAsia" w:ascii="仿宋_GB2312" w:hAnsi="Arial" w:eastAsia="仿宋_GB2312" w:cs="Arial"/>
          <w:kern w:val="0"/>
          <w:sz w:val="32"/>
          <w:szCs w:val="32"/>
        </w:rPr>
        <w:t>网站、其它媒介等及时发布有关政策法规、为民服务、审计动态、业务公告等各类信息，</w:t>
      </w:r>
      <w:r>
        <w:rPr>
          <w:rFonts w:hint="eastAsia" w:ascii="仿宋_GB2312" w:hAnsi="Arial" w:eastAsia="仿宋_GB2312" w:cs="Arial"/>
          <w:kern w:val="0"/>
          <w:sz w:val="32"/>
          <w:szCs w:val="32"/>
          <w:lang w:eastAsia="zh-CN"/>
        </w:rPr>
        <w:t>提高审计工作透明度</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规范行政行为</w:t>
      </w:r>
      <w:r>
        <w:rPr>
          <w:rFonts w:hint="eastAsia" w:ascii="仿宋_GB2312" w:hAnsi="Arial" w:eastAsia="仿宋_GB2312" w:cs="Arial"/>
          <w:kern w:val="0"/>
          <w:sz w:val="32"/>
          <w:szCs w:val="32"/>
        </w:rPr>
        <w:t>。</w:t>
      </w:r>
    </w:p>
    <w:p>
      <w:pPr>
        <w:pStyle w:val="2"/>
        <w:numPr>
          <w:ilvl w:val="0"/>
          <w:numId w:val="0"/>
        </w:numPr>
        <w:ind w:firstLine="640" w:firstLineChars="200"/>
        <w:rPr>
          <w:rFonts w:hint="eastAsia" w:ascii="楷体_GB2312" w:hAnsi="楷体_GB2312" w:eastAsia="楷体_GB2312" w:cs="楷体_GB2312"/>
          <w:i w:val="0"/>
          <w:iCs/>
          <w:sz w:val="32"/>
          <w:szCs w:val="32"/>
          <w:lang w:eastAsia="zh-CN"/>
        </w:rPr>
      </w:pPr>
      <w:r>
        <w:rPr>
          <w:rFonts w:hint="eastAsia" w:ascii="楷体_GB2312" w:hAnsi="楷体_GB2312" w:eastAsia="楷体_GB2312" w:cs="楷体_GB2312"/>
          <w:i w:val="0"/>
          <w:iCs/>
          <w:sz w:val="32"/>
          <w:szCs w:val="32"/>
          <w:lang w:eastAsia="zh-CN"/>
        </w:rPr>
        <w:t>（二）依申请公开。</w:t>
      </w:r>
      <w:r>
        <w:rPr>
          <w:rFonts w:hint="eastAsia" w:ascii="仿宋_GB2312" w:hAnsi="宋体" w:eastAsia="仿宋_GB2312"/>
          <w:i w:val="0"/>
          <w:iCs/>
          <w:sz w:val="32"/>
          <w:szCs w:val="32"/>
        </w:rPr>
        <w:t>20</w:t>
      </w:r>
      <w:r>
        <w:rPr>
          <w:rFonts w:hint="eastAsia" w:ascii="仿宋_GB2312" w:hAnsi="宋体" w:eastAsia="仿宋_GB2312"/>
          <w:i w:val="0"/>
          <w:iCs/>
          <w:sz w:val="32"/>
          <w:szCs w:val="32"/>
          <w:lang w:val="en-US" w:eastAsia="zh-CN"/>
        </w:rPr>
        <w:t>21</w:t>
      </w:r>
      <w:r>
        <w:rPr>
          <w:rFonts w:hint="eastAsia" w:ascii="仿宋_GB2312" w:hAnsi="宋体" w:eastAsia="仿宋_GB2312"/>
          <w:i w:val="0"/>
          <w:iCs/>
          <w:sz w:val="32"/>
          <w:szCs w:val="32"/>
        </w:rPr>
        <w:t>年度，</w:t>
      </w:r>
      <w:r>
        <w:rPr>
          <w:rFonts w:hint="eastAsia" w:ascii="仿宋_GB2312" w:hAnsi="宋体" w:eastAsia="仿宋_GB2312"/>
          <w:i w:val="0"/>
          <w:iCs/>
          <w:sz w:val="32"/>
          <w:szCs w:val="32"/>
          <w:lang w:eastAsia="zh-CN"/>
        </w:rPr>
        <w:t>区审计</w:t>
      </w:r>
      <w:r>
        <w:rPr>
          <w:rFonts w:hint="eastAsia" w:ascii="仿宋_GB2312" w:hAnsi="宋体" w:eastAsia="仿宋_GB2312"/>
          <w:i w:val="0"/>
          <w:iCs/>
          <w:sz w:val="32"/>
          <w:szCs w:val="32"/>
        </w:rPr>
        <w:t>局未收到政府信息公开申请。</w:t>
      </w:r>
    </w:p>
    <w:p>
      <w:pPr>
        <w:widowControl/>
        <w:spacing w:line="480" w:lineRule="atLeast"/>
        <w:ind w:firstLine="640" w:firstLineChars="200"/>
        <w:jc w:val="left"/>
        <w:rPr>
          <w:rFonts w:hint="eastAsia" w:ascii="仿宋_GB2312" w:hAnsi="Arial" w:eastAsia="仿宋_GB2312" w:cs="Arial"/>
          <w:color w:val="auto"/>
          <w:kern w:val="0"/>
          <w:sz w:val="32"/>
          <w:szCs w:val="32"/>
        </w:rPr>
      </w:pPr>
      <w:r>
        <w:rPr>
          <w:rFonts w:hint="eastAsia" w:ascii="楷体_GB2312" w:hAnsi="楷体_GB2312" w:eastAsia="楷体_GB2312" w:cs="楷体_GB2312"/>
          <w:color w:val="auto"/>
          <w:kern w:val="0"/>
          <w:sz w:val="32"/>
          <w:szCs w:val="32"/>
          <w:lang w:eastAsia="zh-CN"/>
        </w:rPr>
        <w:t>（三）</w:t>
      </w:r>
      <w:r>
        <w:rPr>
          <w:rFonts w:hint="eastAsia" w:ascii="楷体_GB2312" w:hAnsi="楷体_GB2312" w:eastAsia="楷体_GB2312" w:cs="楷体_GB2312"/>
          <w:i w:val="0"/>
          <w:caps w:val="0"/>
          <w:color w:val="000000"/>
          <w:spacing w:val="0"/>
          <w:kern w:val="0"/>
          <w:sz w:val="32"/>
          <w:szCs w:val="32"/>
          <w:shd w:val="clear" w:color="auto" w:fill="FFFFFF"/>
          <w:lang w:val="en-US" w:eastAsia="zh-CN" w:bidi="ar"/>
        </w:rPr>
        <w:t>平台建设。</w:t>
      </w:r>
      <w:r>
        <w:rPr>
          <w:rFonts w:hint="eastAsia" w:ascii="仿宋_GB2312" w:hAnsi="Arial" w:eastAsia="仿宋_GB2312" w:cs="Arial"/>
          <w:color w:val="auto"/>
          <w:kern w:val="0"/>
          <w:sz w:val="32"/>
          <w:szCs w:val="32"/>
        </w:rPr>
        <w:t>为方便群众查阅，在</w:t>
      </w:r>
      <w:r>
        <w:rPr>
          <w:rFonts w:hint="eastAsia" w:ascii="仿宋_GB2312" w:hAnsi="Arial" w:eastAsia="仿宋_GB2312" w:cs="Arial"/>
          <w:color w:val="auto"/>
          <w:kern w:val="0"/>
          <w:sz w:val="32"/>
          <w:szCs w:val="32"/>
          <w:lang w:eastAsia="zh-CN"/>
        </w:rPr>
        <w:t>区政府门户</w:t>
      </w:r>
      <w:r>
        <w:rPr>
          <w:rFonts w:hint="eastAsia" w:ascii="仿宋_GB2312" w:hAnsi="Arial" w:eastAsia="仿宋_GB2312" w:cs="Arial"/>
          <w:color w:val="auto"/>
          <w:kern w:val="0"/>
          <w:sz w:val="32"/>
          <w:szCs w:val="32"/>
        </w:rPr>
        <w:t>网站</w:t>
      </w:r>
      <w:r>
        <w:rPr>
          <w:rFonts w:hint="eastAsia" w:ascii="仿宋_GB2312" w:hAnsi="Arial" w:eastAsia="仿宋_GB2312" w:cs="Arial"/>
          <w:color w:val="auto"/>
          <w:kern w:val="0"/>
          <w:sz w:val="32"/>
          <w:szCs w:val="32"/>
          <w:lang w:eastAsia="zh-CN"/>
        </w:rPr>
        <w:t>政务公开页面</w:t>
      </w:r>
      <w:r>
        <w:rPr>
          <w:rFonts w:hint="eastAsia" w:ascii="仿宋_GB2312" w:hAnsi="Arial" w:eastAsia="仿宋_GB2312" w:cs="Arial"/>
          <w:color w:val="auto"/>
          <w:kern w:val="0"/>
          <w:sz w:val="32"/>
          <w:szCs w:val="32"/>
        </w:rPr>
        <w:t>设立</w:t>
      </w:r>
      <w:r>
        <w:rPr>
          <w:rFonts w:hint="eastAsia" w:ascii="仿宋_GB2312" w:hAnsi="Arial" w:eastAsia="仿宋_GB2312" w:cs="Arial"/>
          <w:color w:val="auto"/>
          <w:kern w:val="0"/>
          <w:sz w:val="32"/>
          <w:szCs w:val="32"/>
          <w:lang w:eastAsia="zh-CN"/>
        </w:rPr>
        <w:t>审计局</w:t>
      </w:r>
      <w:r>
        <w:rPr>
          <w:rFonts w:hint="eastAsia" w:ascii="仿宋_GB2312" w:hAnsi="Arial" w:eastAsia="仿宋_GB2312" w:cs="Arial"/>
          <w:color w:val="auto"/>
          <w:kern w:val="0"/>
          <w:sz w:val="32"/>
          <w:szCs w:val="32"/>
        </w:rPr>
        <w:t>政府信息公开</w:t>
      </w:r>
      <w:r>
        <w:rPr>
          <w:rFonts w:hint="eastAsia" w:ascii="仿宋_GB2312" w:hAnsi="Arial" w:eastAsia="仿宋_GB2312" w:cs="Arial"/>
          <w:color w:val="auto"/>
          <w:kern w:val="0"/>
          <w:sz w:val="32"/>
          <w:szCs w:val="32"/>
          <w:lang w:eastAsia="zh-CN"/>
        </w:rPr>
        <w:t>专栏</w:t>
      </w:r>
      <w:r>
        <w:rPr>
          <w:rFonts w:hint="eastAsia" w:ascii="仿宋_GB2312" w:hAnsi="Arial" w:eastAsia="仿宋_GB2312" w:cs="Arial"/>
          <w:color w:val="auto"/>
          <w:kern w:val="0"/>
          <w:sz w:val="32"/>
          <w:szCs w:val="32"/>
        </w:rPr>
        <w:t>，下设公开指南、公开</w:t>
      </w:r>
      <w:r>
        <w:rPr>
          <w:rFonts w:hint="eastAsia" w:ascii="仿宋_GB2312" w:hAnsi="Arial" w:eastAsia="仿宋_GB2312" w:cs="Arial"/>
          <w:color w:val="auto"/>
          <w:kern w:val="0"/>
          <w:sz w:val="32"/>
          <w:szCs w:val="32"/>
          <w:lang w:eastAsia="zh-CN"/>
        </w:rPr>
        <w:t>制度</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eastAsia="zh-CN"/>
        </w:rPr>
        <w:t>法定主动</w:t>
      </w:r>
      <w:r>
        <w:rPr>
          <w:rFonts w:hint="eastAsia" w:ascii="仿宋_GB2312" w:hAnsi="Arial" w:eastAsia="仿宋_GB2312" w:cs="Arial"/>
          <w:color w:val="auto"/>
          <w:kern w:val="0"/>
          <w:sz w:val="32"/>
          <w:szCs w:val="32"/>
        </w:rPr>
        <w:t>公开</w:t>
      </w:r>
      <w:r>
        <w:rPr>
          <w:rFonts w:hint="eastAsia" w:ascii="仿宋_GB2312" w:hAnsi="Arial" w:eastAsia="仿宋_GB2312" w:cs="Arial"/>
          <w:color w:val="auto"/>
          <w:kern w:val="0"/>
          <w:sz w:val="32"/>
          <w:szCs w:val="32"/>
          <w:lang w:eastAsia="zh-CN"/>
        </w:rPr>
        <w:t>内容</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eastAsia="zh-CN"/>
        </w:rPr>
        <w:t>政府信息公开</w:t>
      </w:r>
      <w:r>
        <w:rPr>
          <w:rFonts w:hint="eastAsia" w:ascii="仿宋_GB2312" w:hAnsi="Arial" w:eastAsia="仿宋_GB2312" w:cs="Arial"/>
          <w:color w:val="auto"/>
          <w:kern w:val="0"/>
          <w:sz w:val="32"/>
          <w:szCs w:val="32"/>
        </w:rPr>
        <w:t>年报、</w:t>
      </w:r>
      <w:r>
        <w:rPr>
          <w:rFonts w:hint="eastAsia" w:ascii="仿宋_GB2312" w:hAnsi="Arial" w:eastAsia="仿宋_GB2312" w:cs="Arial"/>
          <w:color w:val="auto"/>
          <w:kern w:val="0"/>
          <w:sz w:val="32"/>
          <w:szCs w:val="32"/>
          <w:lang w:eastAsia="zh-CN"/>
        </w:rPr>
        <w:t>申请公开政府信息五</w:t>
      </w:r>
      <w:r>
        <w:rPr>
          <w:rFonts w:hint="eastAsia" w:ascii="仿宋_GB2312" w:hAnsi="Arial" w:eastAsia="仿宋_GB2312" w:cs="Arial"/>
          <w:color w:val="auto"/>
          <w:kern w:val="0"/>
          <w:sz w:val="32"/>
          <w:szCs w:val="32"/>
        </w:rPr>
        <w:t>个</w:t>
      </w:r>
      <w:r>
        <w:rPr>
          <w:rFonts w:hint="eastAsia" w:ascii="仿宋_GB2312" w:hAnsi="Arial" w:eastAsia="仿宋_GB2312" w:cs="Arial"/>
          <w:color w:val="auto"/>
          <w:kern w:val="0"/>
          <w:sz w:val="32"/>
          <w:szCs w:val="32"/>
          <w:lang w:eastAsia="zh-CN"/>
        </w:rPr>
        <w:t>版块</w:t>
      </w:r>
      <w:r>
        <w:rPr>
          <w:rFonts w:hint="eastAsia" w:ascii="仿宋_GB2312" w:hAnsi="Arial" w:eastAsia="仿宋_GB2312" w:cs="Arial"/>
          <w:color w:val="auto"/>
          <w:kern w:val="0"/>
          <w:sz w:val="32"/>
          <w:szCs w:val="32"/>
        </w:rPr>
        <w:t>。目前</w:t>
      </w:r>
      <w:r>
        <w:rPr>
          <w:rFonts w:hint="eastAsia" w:ascii="仿宋_GB2312" w:hAnsi="Arial" w:eastAsia="仿宋_GB2312" w:cs="Arial"/>
          <w:color w:val="auto"/>
          <w:kern w:val="0"/>
          <w:sz w:val="32"/>
          <w:szCs w:val="32"/>
          <w:lang w:eastAsia="zh-CN"/>
        </w:rPr>
        <w:t>区审计</w:t>
      </w:r>
      <w:r>
        <w:rPr>
          <w:rFonts w:hint="eastAsia" w:ascii="仿宋_GB2312" w:hAnsi="Arial" w:eastAsia="仿宋_GB2312" w:cs="Arial"/>
          <w:color w:val="auto"/>
          <w:kern w:val="0"/>
          <w:sz w:val="32"/>
          <w:szCs w:val="32"/>
        </w:rPr>
        <w:t>局</w:t>
      </w:r>
      <w:r>
        <w:rPr>
          <w:rFonts w:hint="eastAsia" w:ascii="仿宋_GB2312" w:hAnsi="Arial" w:eastAsia="仿宋_GB2312" w:cs="Arial"/>
          <w:color w:val="auto"/>
          <w:kern w:val="0"/>
          <w:sz w:val="32"/>
          <w:szCs w:val="32"/>
          <w:lang w:eastAsia="zh-CN"/>
        </w:rPr>
        <w:t>法定主动</w:t>
      </w:r>
      <w:r>
        <w:rPr>
          <w:rFonts w:hint="eastAsia" w:ascii="仿宋_GB2312" w:hAnsi="Arial" w:eastAsia="仿宋_GB2312" w:cs="Arial"/>
          <w:color w:val="auto"/>
          <w:kern w:val="0"/>
          <w:sz w:val="32"/>
          <w:szCs w:val="32"/>
        </w:rPr>
        <w:t>公开内容包括</w:t>
      </w:r>
      <w:r>
        <w:rPr>
          <w:rFonts w:hint="eastAsia" w:ascii="仿宋_GB2312" w:hAnsi="Arial" w:eastAsia="仿宋_GB2312" w:cs="Arial"/>
          <w:color w:val="auto"/>
          <w:kern w:val="0"/>
          <w:sz w:val="32"/>
          <w:szCs w:val="32"/>
          <w:lang w:eastAsia="zh-CN"/>
        </w:rPr>
        <w:t>组织机构</w:t>
      </w:r>
      <w:r>
        <w:rPr>
          <w:rFonts w:hint="eastAsia" w:ascii="仿宋_GB2312" w:hAnsi="Arial" w:eastAsia="仿宋_GB2312" w:cs="Arial"/>
          <w:color w:val="auto"/>
          <w:kern w:val="0"/>
          <w:sz w:val="32"/>
          <w:szCs w:val="32"/>
        </w:rPr>
        <w:t>、法规</w:t>
      </w:r>
      <w:r>
        <w:rPr>
          <w:rFonts w:hint="eastAsia" w:ascii="仿宋_GB2312" w:hAnsi="Arial" w:eastAsia="仿宋_GB2312" w:cs="Arial"/>
          <w:color w:val="auto"/>
          <w:kern w:val="0"/>
          <w:sz w:val="32"/>
          <w:szCs w:val="32"/>
          <w:lang w:eastAsia="zh-CN"/>
        </w:rPr>
        <w:t>文件</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eastAsia="zh-CN"/>
        </w:rPr>
        <w:t>计划规划</w:t>
      </w:r>
      <w:r>
        <w:rPr>
          <w:rFonts w:hint="eastAsia" w:ascii="仿宋_GB2312" w:hAnsi="Arial" w:eastAsia="仿宋_GB2312" w:cs="Arial"/>
          <w:color w:val="auto"/>
          <w:kern w:val="0"/>
          <w:sz w:val="32"/>
          <w:szCs w:val="32"/>
        </w:rPr>
        <w:t>、</w:t>
      </w:r>
      <w:r>
        <w:rPr>
          <w:rFonts w:hint="eastAsia" w:ascii="仿宋_GB2312" w:hAnsi="Arial" w:eastAsia="仿宋_GB2312" w:cs="Arial"/>
          <w:color w:val="auto"/>
          <w:kern w:val="0"/>
          <w:sz w:val="32"/>
          <w:szCs w:val="32"/>
          <w:lang w:eastAsia="zh-CN"/>
        </w:rPr>
        <w:t>财政</w:t>
      </w:r>
      <w:r>
        <w:rPr>
          <w:rFonts w:hint="eastAsia" w:ascii="仿宋_GB2312" w:hAnsi="Arial" w:eastAsia="仿宋_GB2312" w:cs="Arial"/>
          <w:color w:val="auto"/>
          <w:kern w:val="0"/>
          <w:sz w:val="32"/>
          <w:szCs w:val="32"/>
        </w:rPr>
        <w:t>信息、</w:t>
      </w:r>
      <w:r>
        <w:rPr>
          <w:rFonts w:hint="eastAsia" w:ascii="仿宋_GB2312" w:hAnsi="Arial" w:eastAsia="仿宋_GB2312" w:cs="Arial"/>
          <w:color w:val="auto"/>
          <w:kern w:val="0"/>
          <w:sz w:val="32"/>
          <w:szCs w:val="32"/>
          <w:lang w:eastAsia="zh-CN"/>
        </w:rPr>
        <w:t>人事</w:t>
      </w:r>
      <w:r>
        <w:rPr>
          <w:rFonts w:hint="eastAsia" w:ascii="仿宋_GB2312" w:hAnsi="Arial" w:eastAsia="仿宋_GB2312" w:cs="Arial"/>
          <w:color w:val="auto"/>
          <w:kern w:val="0"/>
          <w:sz w:val="32"/>
          <w:szCs w:val="32"/>
        </w:rPr>
        <w:t>信息、主动公开</w:t>
      </w:r>
      <w:r>
        <w:rPr>
          <w:rFonts w:hint="eastAsia" w:ascii="仿宋_GB2312" w:hAnsi="Arial" w:eastAsia="仿宋_GB2312" w:cs="Arial"/>
          <w:color w:val="auto"/>
          <w:kern w:val="0"/>
          <w:sz w:val="32"/>
          <w:szCs w:val="32"/>
          <w:lang w:eastAsia="zh-CN"/>
        </w:rPr>
        <w:t>其他信息</w:t>
      </w:r>
      <w:r>
        <w:rPr>
          <w:rFonts w:hint="eastAsia" w:ascii="仿宋_GB2312" w:hAnsi="Arial" w:eastAsia="仿宋_GB2312" w:cs="Arial"/>
          <w:color w:val="auto"/>
          <w:kern w:val="0"/>
          <w:sz w:val="32"/>
          <w:szCs w:val="32"/>
          <w:lang w:val="en-US" w:eastAsia="zh-CN"/>
        </w:rPr>
        <w:t>六</w:t>
      </w:r>
      <w:r>
        <w:rPr>
          <w:rFonts w:hint="eastAsia" w:ascii="仿宋_GB2312" w:hAnsi="Arial" w:eastAsia="仿宋_GB2312" w:cs="Arial"/>
          <w:color w:val="auto"/>
          <w:kern w:val="0"/>
          <w:sz w:val="32"/>
          <w:szCs w:val="32"/>
        </w:rPr>
        <w:t>大类，群众可通过登录</w:t>
      </w:r>
      <w:r>
        <w:rPr>
          <w:rFonts w:hint="eastAsia" w:ascii="仿宋_GB2312" w:hAnsi="Arial" w:eastAsia="仿宋_GB2312" w:cs="Arial"/>
          <w:color w:val="auto"/>
          <w:kern w:val="0"/>
          <w:sz w:val="32"/>
          <w:szCs w:val="32"/>
          <w:lang w:eastAsia="zh-CN"/>
        </w:rPr>
        <w:t>宁波市北仑区</w:t>
      </w:r>
      <w:r>
        <w:rPr>
          <w:rFonts w:hint="eastAsia" w:ascii="仿宋_GB2312" w:hAnsi="Arial" w:eastAsia="仿宋_GB2312" w:cs="Arial"/>
          <w:color w:val="auto"/>
          <w:kern w:val="0"/>
          <w:sz w:val="32"/>
          <w:szCs w:val="32"/>
        </w:rPr>
        <w:t>人民政府网站或“北仑区审计局”政府信息公开平台进行查阅。</w:t>
      </w:r>
    </w:p>
    <w:p>
      <w:pPr>
        <w:keepNext w:val="0"/>
        <w:keepLines w:val="0"/>
        <w:pageBreakBefore w:val="0"/>
        <w:widowControl/>
        <w:kinsoku/>
        <w:wordWrap/>
        <w:overflowPunct/>
        <w:topLinePunct w:val="0"/>
        <w:autoSpaceDE/>
        <w:autoSpaceDN/>
        <w:bidi w:val="0"/>
        <w:adjustRightInd/>
        <w:snapToGrid/>
        <w:spacing w:beforeLines="0" w:afterLines="0" w:line="52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楷体_GB2312" w:hAnsi="楷体_GB2312" w:eastAsia="楷体_GB2312" w:cs="楷体_GB2312"/>
          <w:color w:val="auto"/>
          <w:kern w:val="0"/>
          <w:sz w:val="32"/>
          <w:szCs w:val="32"/>
          <w:lang w:eastAsia="zh-CN"/>
        </w:rPr>
        <w:t>（四）监督保障。</w:t>
      </w:r>
      <w:r>
        <w:rPr>
          <w:rFonts w:hint="eastAsia" w:ascii="仿宋_GB2312" w:hAnsi="Arial" w:eastAsia="仿宋_GB2312" w:cs="Arial"/>
          <w:kern w:val="0"/>
          <w:sz w:val="32"/>
          <w:szCs w:val="32"/>
        </w:rPr>
        <w:t>积极开展《条例》学习，宣传政府信息公开的意义，开展信息公开业务培训，信息公开工作得到领导的重视，全局机关工作人员对信息公开的意识也进一步增强。</w:t>
      </w:r>
      <w:r>
        <w:rPr>
          <w:rFonts w:hint="eastAsia" w:ascii="仿宋_GB2312" w:hAnsi="仿宋_GB2312" w:eastAsia="仿宋_GB2312" w:cs="仿宋_GB2312"/>
          <w:i w:val="0"/>
          <w:caps w:val="0"/>
          <w:color w:val="000000"/>
          <w:spacing w:val="0"/>
          <w:sz w:val="32"/>
          <w:szCs w:val="32"/>
          <w:shd w:val="clear" w:color="auto" w:fill="FFFFFF"/>
          <w:lang w:eastAsia="zh-CN"/>
        </w:rPr>
        <w:t>全年未发生因政务公开工作被追究责任的情况。</w:t>
      </w:r>
    </w:p>
    <w:p>
      <w:pPr>
        <w:widowControl/>
        <w:spacing w:line="480" w:lineRule="atLeast"/>
        <w:ind w:firstLine="480"/>
        <w:jc w:val="left"/>
        <w:rPr>
          <w:rFonts w:hint="eastAsia" w:ascii="黑体" w:hAnsi="黑体" w:eastAsia="黑体" w:cs="Arial"/>
          <w:kern w:val="0"/>
          <w:sz w:val="32"/>
          <w:szCs w:val="32"/>
        </w:rPr>
      </w:pPr>
      <w:r>
        <w:rPr>
          <w:rFonts w:hint="eastAsia" w:ascii="黑体" w:hAnsi="黑体" w:eastAsia="黑体" w:cs="Arial"/>
          <w:kern w:val="0"/>
          <w:sz w:val="32"/>
          <w:szCs w:val="32"/>
        </w:rPr>
        <w:t>二、行</w:t>
      </w:r>
      <w:r>
        <w:rPr>
          <w:rFonts w:hint="eastAsia" w:ascii="黑体" w:hAnsi="黑体" w:eastAsia="黑体" w:cs="Arial"/>
          <w:kern w:val="0"/>
          <w:sz w:val="32"/>
          <w:szCs w:val="32"/>
          <w:lang w:eastAsia="zh-CN"/>
        </w:rPr>
        <w:t>政</w:t>
      </w:r>
      <w:r>
        <w:rPr>
          <w:rFonts w:hint="eastAsia" w:ascii="黑体" w:hAnsi="黑体" w:eastAsia="黑体" w:cs="Arial"/>
          <w:kern w:val="0"/>
          <w:sz w:val="32"/>
          <w:szCs w:val="32"/>
        </w:rPr>
        <w:t>机关主动公开政府信息情况</w:t>
      </w:r>
    </w:p>
    <w:tbl>
      <w:tblPr>
        <w:tblStyle w:val="7"/>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20" w:hRule="exac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spacing w:line="260" w:lineRule="exact"/>
              <w:jc w:val="center"/>
              <w:rPr>
                <w:szCs w:val="21"/>
              </w:rPr>
            </w:pPr>
            <w:r>
              <w:rPr>
                <w:rFonts w:hint="eastAsia"/>
                <w:szCs w:val="21"/>
              </w:rPr>
              <w:t>第二十条第（一）项</w:t>
            </w:r>
          </w:p>
        </w:tc>
      </w:tr>
      <w:tr>
        <w:tblPrEx>
          <w:tblCellMar>
            <w:top w:w="0" w:type="dxa"/>
            <w:left w:w="0" w:type="dxa"/>
            <w:bottom w:w="0" w:type="dxa"/>
            <w:right w:w="0" w:type="dxa"/>
          </w:tblCellMar>
        </w:tblPrEx>
        <w:trPr>
          <w:trHeight w:val="595"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本年新</w:t>
            </w:r>
            <w:r>
              <w:rPr>
                <w:rFonts w:hint="eastAsia"/>
                <w:szCs w:val="21"/>
              </w:rPr>
              <w:br w:type="textWrapping"/>
            </w:r>
            <w:r>
              <w:rPr>
                <w:rFonts w:hint="eastAsia"/>
                <w:szCs w:val="21"/>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本年新</w:t>
            </w:r>
            <w:r>
              <w:rPr>
                <w:rFonts w:hint="eastAsia"/>
                <w:szCs w:val="21"/>
              </w:rPr>
              <w:br w:type="textWrapping"/>
            </w:r>
            <w:r>
              <w:rPr>
                <w:rFonts w:hint="eastAsia"/>
                <w:szCs w:val="21"/>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对外公开总数量</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spacing w:line="260" w:lineRule="exact"/>
              <w:jc w:val="center"/>
              <w:rPr>
                <w:szCs w:val="21"/>
              </w:rPr>
            </w:pPr>
            <w:r>
              <w:rPr>
                <w:rFonts w:hint="eastAsia"/>
                <w:szCs w:val="21"/>
              </w:rPr>
              <w:t>第二十条第（五）项</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处理决定数量</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spacing w:line="260" w:lineRule="exact"/>
              <w:jc w:val="center"/>
              <w:rPr>
                <w:szCs w:val="21"/>
              </w:rPr>
            </w:pPr>
            <w:r>
              <w:rPr>
                <w:rFonts w:hint="eastAsia"/>
                <w:szCs w:val="21"/>
              </w:rPr>
              <w:t>第二十条第（六）项</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处理决定数量</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spacing w:line="260" w:lineRule="exact"/>
              <w:jc w:val="center"/>
              <w:rPr>
                <w:szCs w:val="21"/>
              </w:rPr>
            </w:pPr>
            <w:r>
              <w:rPr>
                <w:rFonts w:hint="eastAsia"/>
                <w:szCs w:val="21"/>
              </w:rPr>
              <w:t>第二十条第（八）项</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spacing w:line="260" w:lineRule="exact"/>
              <w:jc w:val="center"/>
              <w:rPr>
                <w:szCs w:val="21"/>
              </w:rPr>
            </w:pPr>
            <w:r>
              <w:rPr>
                <w:rFonts w:hint="eastAsia"/>
                <w:szCs w:val="21"/>
              </w:rPr>
              <w:t>本年增/减</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260" w:lineRule="exact"/>
              <w:jc w:val="center"/>
              <w:rPr>
                <w:szCs w:val="21"/>
              </w:rPr>
            </w:pPr>
            <w:r>
              <w:rPr>
                <w:rFonts w:hint="eastAsia"/>
                <w:szCs w:val="21"/>
              </w:rPr>
              <w:t>0</w:t>
            </w:r>
          </w:p>
        </w:tc>
      </w:tr>
      <w:tr>
        <w:tblPrEx>
          <w:tblCellMar>
            <w:top w:w="0" w:type="dxa"/>
            <w:left w:w="0" w:type="dxa"/>
            <w:bottom w:w="0" w:type="dxa"/>
            <w:right w:w="0" w:type="dxa"/>
          </w:tblCellMar>
        </w:tblPrEx>
        <w:trPr>
          <w:trHeight w:val="420" w:hRule="exac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spacing w:line="260" w:lineRule="exact"/>
              <w:jc w:val="center"/>
              <w:rPr>
                <w:szCs w:val="21"/>
              </w:rPr>
            </w:pPr>
            <w:r>
              <w:rPr>
                <w:rFonts w:hint="eastAsia"/>
                <w:szCs w:val="21"/>
              </w:rPr>
              <w:t>第二十条第（九）项</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spacing w:line="260" w:lineRule="exact"/>
              <w:jc w:val="center"/>
              <w:rPr>
                <w:szCs w:val="21"/>
              </w:rPr>
            </w:pPr>
            <w:r>
              <w:rPr>
                <w:rFonts w:hint="eastAsia"/>
                <w:szCs w:val="21"/>
              </w:rPr>
              <w:t>采购总金额</w:t>
            </w:r>
          </w:p>
        </w:tc>
      </w:tr>
      <w:tr>
        <w:tblPrEx>
          <w:tblCellMar>
            <w:top w:w="0" w:type="dxa"/>
            <w:left w:w="0" w:type="dxa"/>
            <w:bottom w:w="0" w:type="dxa"/>
            <w:right w:w="0" w:type="dxa"/>
          </w:tblCellMar>
        </w:tblPrEx>
        <w:trPr>
          <w:trHeight w:val="420" w:hRule="exac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spacing w:line="260" w:lineRule="exact"/>
              <w:jc w:val="center"/>
              <w:rPr>
                <w:szCs w:val="21"/>
              </w:rPr>
            </w:pPr>
            <w:r>
              <w:rPr>
                <w:rFonts w:hint="eastAsia"/>
                <w:szCs w:val="21"/>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260" w:lineRule="exact"/>
              <w:jc w:val="center"/>
              <w:rPr>
                <w:szCs w:val="21"/>
              </w:rPr>
            </w:pPr>
            <w:r>
              <w:rPr>
                <w:rFonts w:hint="eastAsia"/>
                <w:szCs w:val="21"/>
              </w:rPr>
              <w:t>0</w:t>
            </w:r>
          </w:p>
        </w:tc>
      </w:tr>
    </w:tbl>
    <w:p>
      <w:pPr>
        <w:widowControl/>
        <w:spacing w:line="480" w:lineRule="atLeast"/>
        <w:ind w:firstLine="480"/>
        <w:jc w:val="left"/>
        <w:rPr>
          <w:rFonts w:hint="eastAsia" w:ascii="黑体" w:hAnsi="黑体" w:eastAsia="黑体" w:cs="Arial"/>
          <w:kern w:val="0"/>
          <w:sz w:val="32"/>
          <w:szCs w:val="32"/>
        </w:rPr>
      </w:pPr>
      <w:r>
        <w:rPr>
          <w:rFonts w:ascii="黑体" w:hAnsi="黑体" w:eastAsia="黑体" w:cs="Arial"/>
          <w:kern w:val="0"/>
          <w:sz w:val="32"/>
          <w:szCs w:val="32"/>
        </w:rPr>
        <w:t>三、收到和处理政府信息公开申请情况</w:t>
      </w:r>
    </w:p>
    <w:tbl>
      <w:tblPr>
        <w:tblStyle w:val="7"/>
        <w:tblW w:w="852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7"/>
        <w:gridCol w:w="656"/>
        <w:gridCol w:w="2715"/>
        <w:gridCol w:w="594"/>
        <w:gridCol w:w="648"/>
        <w:gridCol w:w="647"/>
        <w:gridCol w:w="698"/>
        <w:gridCol w:w="836"/>
        <w:gridCol w:w="610"/>
        <w:gridCol w:w="5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r>
              <w:rPr>
                <w:rFonts w:hint="eastAsia"/>
              </w:rPr>
              <w:t>（本列数据的勾稽关系为：第一项加第二项之和，等于第三项加第四项之和）</w:t>
            </w:r>
          </w:p>
        </w:tc>
        <w:tc>
          <w:tcPr>
            <w:tcW w:w="4624" w:type="dxa"/>
            <w:gridSpan w:val="7"/>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594" w:type="dxa"/>
            <w:vMerge w:val="restart"/>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自</w:t>
            </w:r>
          </w:p>
          <w:p>
            <w:pPr>
              <w:spacing w:line="280" w:lineRule="exact"/>
              <w:jc w:val="center"/>
            </w:pPr>
            <w:r>
              <w:rPr>
                <w:rFonts w:hint="eastAsia"/>
              </w:rPr>
              <w:t>然</w:t>
            </w:r>
          </w:p>
          <w:p>
            <w:pPr>
              <w:spacing w:line="280" w:lineRule="exact"/>
              <w:jc w:val="center"/>
            </w:pPr>
            <w:r>
              <w:rPr>
                <w:rFonts w:hint="eastAsia"/>
              </w:rPr>
              <w:t>人</w:t>
            </w:r>
          </w:p>
        </w:tc>
        <w:tc>
          <w:tcPr>
            <w:tcW w:w="3439" w:type="dxa"/>
            <w:gridSpan w:val="5"/>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法人或其他组织</w:t>
            </w:r>
          </w:p>
        </w:tc>
        <w:tc>
          <w:tcPr>
            <w:tcW w:w="591"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389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594"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商业企业</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科研机构</w:t>
            </w:r>
          </w:p>
        </w:tc>
        <w:tc>
          <w:tcPr>
            <w:tcW w:w="698" w:type="dxa"/>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社会公益组织</w:t>
            </w:r>
          </w:p>
        </w:tc>
        <w:tc>
          <w:tcPr>
            <w:tcW w:w="836" w:type="dxa"/>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法律服务机构</w:t>
            </w:r>
          </w:p>
        </w:tc>
        <w:tc>
          <w:tcPr>
            <w:tcW w:w="610" w:type="dxa"/>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其他</w:t>
            </w:r>
          </w:p>
        </w:tc>
        <w:tc>
          <w:tcPr>
            <w:tcW w:w="591"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8"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r>
              <w:rPr>
                <w:rFonts w:hint="eastAsia"/>
              </w:rPr>
              <w:t>一、本年新收政府信息公开申请数量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8"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r>
              <w:rPr>
                <w:rFonts w:hint="eastAsia"/>
              </w:rPr>
              <w:t>二、上年结转政府信息公开申请数量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r>
              <w:rPr>
                <w:rFonts w:hint="eastAsia"/>
              </w:rPr>
              <w:t>三、本年度办理结果</w:t>
            </w:r>
          </w:p>
        </w:tc>
        <w:tc>
          <w:tcPr>
            <w:tcW w:w="3371" w:type="dxa"/>
            <w:gridSpan w:val="2"/>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（一）予以公开</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3371" w:type="dxa"/>
            <w:gridSpan w:val="2"/>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（二）部分公开（区分处理的，只计这一情形，不计其他情形）</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restart"/>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（三）不予公开</w:t>
            </w: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1.属于国家秘密</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single" w:color="auto" w:sz="8" w:space="0"/>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2.其他法律行政法规禁止公开</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3.危及“三安全一稳定”</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4.保护第三方合法权益</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5.属于三类内部事务信息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6.属于四类过程性信息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7.属于行政执法案卷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8.属于行政查询事项</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restart"/>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（四）无法提供</w:t>
            </w: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1.本机关不掌握相关政府信息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2.没有现成信息需要另行制作</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3.补正后申请内容仍不明确</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restart"/>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（五）不予处理</w:t>
            </w: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1.信访举报投诉类申请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2.重复申请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3.要求提供公开出版物</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4.无正当理由大量反复申请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656" w:type="dxa"/>
            <w:vMerge w:val="continue"/>
            <w:tcBorders>
              <w:top w:val="nil"/>
              <w:left w:val="nil"/>
              <w:bottom w:val="single" w:color="auto" w:sz="8" w:space="0"/>
              <w:right w:val="single" w:color="auto" w:sz="8" w:space="0"/>
            </w:tcBorders>
            <w:tcMar>
              <w:left w:w="108" w:type="dxa"/>
              <w:right w:w="108" w:type="dxa"/>
            </w:tcMar>
            <w:vAlign w:val="center"/>
          </w:tcPr>
          <w:p>
            <w:pPr>
              <w:spacing w:line="280" w:lineRule="exact"/>
              <w:jc w:val="center"/>
            </w:pPr>
          </w:p>
        </w:tc>
        <w:tc>
          <w:tcPr>
            <w:tcW w:w="2715"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5.要求行政机关确认或重新出具已获取信息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3371" w:type="dxa"/>
            <w:gridSpan w:val="2"/>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（六）其他处理</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7"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p>
        </w:tc>
        <w:tc>
          <w:tcPr>
            <w:tcW w:w="3371" w:type="dxa"/>
            <w:gridSpan w:val="2"/>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（七）总计</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rPr>
                <w:rFonts w:hint="eastAsia" w:eastAsiaTheme="minorEastAsia"/>
                <w:lang w:eastAsia="zh-CN"/>
              </w:rPr>
            </w:pPr>
            <w:r>
              <w:rPr>
                <w:rFonts w:hint="eastAsia"/>
                <w:lang w:val="en-US" w:eastAsia="zh-CN"/>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bookmarkStart w:id="0" w:name="_GoBack"/>
            <w:bookmarkEnd w:id="0"/>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98" w:type="dxa"/>
            <w:gridSpan w:val="3"/>
            <w:tcBorders>
              <w:top w:val="nil"/>
              <w:left w:val="single" w:color="auto" w:sz="8" w:space="0"/>
              <w:bottom w:val="single" w:color="auto" w:sz="8" w:space="0"/>
              <w:right w:val="single" w:color="auto" w:sz="8" w:space="0"/>
            </w:tcBorders>
            <w:tcMar>
              <w:left w:w="108" w:type="dxa"/>
              <w:right w:w="108" w:type="dxa"/>
            </w:tcMar>
            <w:vAlign w:val="center"/>
          </w:tcPr>
          <w:p>
            <w:pPr>
              <w:spacing w:line="280" w:lineRule="exact"/>
              <w:jc w:val="center"/>
            </w:pPr>
            <w:r>
              <w:rPr>
                <w:rFonts w:hint="eastAsia"/>
              </w:rPr>
              <w:t>四、结转下年度继续办理</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47"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98"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836"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610"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c>
          <w:tcPr>
            <w:tcW w:w="591" w:type="dxa"/>
            <w:tcBorders>
              <w:top w:val="nil"/>
              <w:left w:val="nil"/>
              <w:bottom w:val="single" w:color="auto" w:sz="8" w:space="0"/>
              <w:right w:val="single" w:color="auto" w:sz="8" w:space="0"/>
            </w:tcBorders>
            <w:tcMar>
              <w:left w:w="108" w:type="dxa"/>
              <w:right w:w="108" w:type="dxa"/>
            </w:tcMar>
            <w:vAlign w:val="center"/>
          </w:tcPr>
          <w:p>
            <w:pPr>
              <w:spacing w:line="280" w:lineRule="exact"/>
              <w:jc w:val="center"/>
            </w:pPr>
            <w:r>
              <w:rPr>
                <w:rFonts w:hint="eastAsia"/>
              </w:rPr>
              <w:t>0</w:t>
            </w:r>
          </w:p>
        </w:tc>
      </w:tr>
    </w:tbl>
    <w:p>
      <w:pPr>
        <w:widowControl/>
        <w:spacing w:line="480" w:lineRule="atLeast"/>
        <w:ind w:firstLine="480"/>
        <w:jc w:val="left"/>
        <w:rPr>
          <w:rFonts w:ascii="黑体" w:hAnsi="黑体" w:eastAsia="黑体" w:cs="Arial"/>
          <w:kern w:val="0"/>
          <w:sz w:val="32"/>
          <w:szCs w:val="32"/>
        </w:rPr>
      </w:pPr>
    </w:p>
    <w:p>
      <w:pPr>
        <w:widowControl/>
        <w:spacing w:line="480" w:lineRule="atLeast"/>
        <w:ind w:firstLine="480"/>
        <w:jc w:val="left"/>
        <w:rPr>
          <w:rFonts w:ascii="黑体" w:hAnsi="黑体" w:eastAsia="黑体" w:cs="Arial"/>
          <w:kern w:val="0"/>
          <w:sz w:val="32"/>
          <w:szCs w:val="32"/>
        </w:rPr>
      </w:pPr>
      <w:r>
        <w:rPr>
          <w:rFonts w:ascii="黑体" w:hAnsi="黑体" w:eastAsia="黑体" w:cs="Arial"/>
          <w:kern w:val="0"/>
          <w:sz w:val="32"/>
          <w:szCs w:val="32"/>
        </w:rPr>
        <w:t>四、政府信息公开行政复议、行政诉讼情况</w:t>
      </w:r>
    </w:p>
    <w:tbl>
      <w:tblPr>
        <w:tblStyle w:val="7"/>
        <w:tblW w:w="8522" w:type="dxa"/>
        <w:jc w:val="center"/>
        <w:tblLayout w:type="fixed"/>
        <w:tblCellMar>
          <w:top w:w="0" w:type="dxa"/>
          <w:left w:w="0" w:type="dxa"/>
          <w:bottom w:w="0" w:type="dxa"/>
          <w:right w:w="0" w:type="dxa"/>
        </w:tblCellMar>
      </w:tblPr>
      <w:tblGrid>
        <w:gridCol w:w="568"/>
        <w:gridCol w:w="568"/>
        <w:gridCol w:w="568"/>
        <w:gridCol w:w="568"/>
        <w:gridCol w:w="568"/>
        <w:gridCol w:w="568"/>
        <w:gridCol w:w="568"/>
        <w:gridCol w:w="568"/>
        <w:gridCol w:w="569"/>
        <w:gridCol w:w="567"/>
        <w:gridCol w:w="568"/>
        <w:gridCol w:w="568"/>
        <w:gridCol w:w="568"/>
        <w:gridCol w:w="568"/>
        <w:gridCol w:w="570"/>
      </w:tblGrid>
      <w:tr>
        <w:tblPrEx>
          <w:tblCellMar>
            <w:top w:w="0" w:type="dxa"/>
            <w:left w:w="0" w:type="dxa"/>
            <w:bottom w:w="0" w:type="dxa"/>
            <w:right w:w="0" w:type="dxa"/>
          </w:tblCellMar>
        </w:tblPrEx>
        <w:trPr>
          <w:jc w:val="center"/>
        </w:trPr>
        <w:tc>
          <w:tcPr>
            <w:tcW w:w="2840" w:type="dxa"/>
            <w:gridSpan w:val="5"/>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行政复议</w:t>
            </w:r>
          </w:p>
        </w:tc>
        <w:tc>
          <w:tcPr>
            <w:tcW w:w="5682"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行政诉讼</w:t>
            </w:r>
          </w:p>
        </w:tc>
      </w:tr>
      <w:tr>
        <w:tblPrEx>
          <w:tblCellMar>
            <w:top w:w="0" w:type="dxa"/>
            <w:left w:w="0" w:type="dxa"/>
            <w:bottom w:w="0" w:type="dxa"/>
            <w:right w:w="0" w:type="dxa"/>
          </w:tblCellMar>
        </w:tblPrEx>
        <w:trPr>
          <w:jc w:val="center"/>
        </w:trPr>
        <w:tc>
          <w:tcPr>
            <w:tcW w:w="2840" w:type="dxa"/>
            <w:gridSpan w:val="5"/>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Arial" w:hAnsi="Arial" w:eastAsia="宋体" w:cs="Arial"/>
                <w:kern w:val="0"/>
                <w:sz w:val="22"/>
              </w:rPr>
            </w:pPr>
          </w:p>
        </w:tc>
        <w:tc>
          <w:tcPr>
            <w:tcW w:w="2840"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未经复议直接起诉</w:t>
            </w:r>
          </w:p>
        </w:tc>
        <w:tc>
          <w:tcPr>
            <w:tcW w:w="284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复议后起诉</w:t>
            </w:r>
          </w:p>
        </w:tc>
      </w:tr>
      <w:tr>
        <w:tblPrEx>
          <w:tblCellMar>
            <w:top w:w="0" w:type="dxa"/>
            <w:left w:w="0" w:type="dxa"/>
            <w:bottom w:w="0" w:type="dxa"/>
            <w:right w:w="0" w:type="dxa"/>
          </w:tblCellMar>
        </w:tblPrEx>
        <w:trPr>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结果维持</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结果纠正</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其他结果</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尚未审结</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总计</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结果维持</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结果纠正</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其他结果</w:t>
            </w:r>
          </w:p>
        </w:tc>
        <w:tc>
          <w:tcPr>
            <w:tcW w:w="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尚未审结</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总计</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结果维持</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结果纠正</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其他结果</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尚未审结</w:t>
            </w:r>
          </w:p>
        </w:tc>
        <w:tc>
          <w:tcPr>
            <w:tcW w:w="5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总计</w:t>
            </w:r>
          </w:p>
        </w:tc>
      </w:tr>
      <w:tr>
        <w:tblPrEx>
          <w:tblCellMar>
            <w:top w:w="0" w:type="dxa"/>
            <w:left w:w="0" w:type="dxa"/>
            <w:bottom w:w="0" w:type="dxa"/>
            <w:right w:w="0" w:type="dxa"/>
          </w:tblCellMar>
        </w:tblPrEx>
        <w:trPr>
          <w:trHeight w:val="83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c>
          <w:tcPr>
            <w:tcW w:w="5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Arial" w:hAnsi="Arial" w:eastAsia="宋体" w:cs="Arial"/>
                <w:kern w:val="0"/>
                <w:sz w:val="22"/>
              </w:rPr>
            </w:pPr>
            <w:r>
              <w:rPr>
                <w:rFonts w:ascii="Arial" w:hAnsi="Arial" w:eastAsia="宋体" w:cs="Arial"/>
                <w:kern w:val="0"/>
                <w:sz w:val="22"/>
              </w:rPr>
              <w:t>0</w:t>
            </w:r>
          </w:p>
        </w:tc>
      </w:tr>
    </w:tbl>
    <w:p>
      <w:pPr>
        <w:widowControl/>
        <w:spacing w:line="480" w:lineRule="atLeast"/>
        <w:ind w:firstLine="480"/>
        <w:jc w:val="left"/>
        <w:rPr>
          <w:rFonts w:ascii="黑体" w:hAnsi="黑体" w:eastAsia="黑体" w:cs="Arial"/>
          <w:kern w:val="0"/>
          <w:sz w:val="32"/>
          <w:szCs w:val="32"/>
        </w:rPr>
      </w:pPr>
      <w:r>
        <w:rPr>
          <w:rFonts w:ascii="黑体" w:hAnsi="黑体" w:eastAsia="黑体" w:cs="Arial"/>
          <w:kern w:val="0"/>
          <w:sz w:val="32"/>
          <w:szCs w:val="32"/>
        </w:rPr>
        <w:t>五、存在的主要问题和改进措施</w:t>
      </w:r>
    </w:p>
    <w:p>
      <w:pPr>
        <w:widowControl/>
        <w:spacing w:line="480" w:lineRule="atLeas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20</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年，</w:t>
      </w:r>
      <w:r>
        <w:rPr>
          <w:rFonts w:hint="eastAsia" w:ascii="仿宋_GB2312" w:hAnsi="Arial" w:eastAsia="仿宋_GB2312" w:cs="Arial"/>
          <w:kern w:val="0"/>
          <w:sz w:val="32"/>
          <w:szCs w:val="32"/>
          <w:lang w:eastAsia="zh-CN"/>
        </w:rPr>
        <w:t>区审计</w:t>
      </w:r>
      <w:r>
        <w:rPr>
          <w:rFonts w:hint="eastAsia" w:ascii="仿宋_GB2312" w:hAnsi="Arial" w:eastAsia="仿宋_GB2312" w:cs="Arial"/>
          <w:kern w:val="0"/>
          <w:sz w:val="32"/>
          <w:szCs w:val="32"/>
        </w:rPr>
        <w:t>局政府信息公开工作</w:t>
      </w:r>
      <w:r>
        <w:rPr>
          <w:rFonts w:hint="eastAsia" w:ascii="仿宋_GB2312" w:hAnsi="Arial" w:eastAsia="仿宋_GB2312" w:cs="Arial"/>
          <w:kern w:val="0"/>
          <w:sz w:val="32"/>
          <w:szCs w:val="32"/>
          <w:lang w:eastAsia="zh-CN"/>
        </w:rPr>
        <w:t>在规范化、制度化基础上</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仍存</w:t>
      </w:r>
      <w:r>
        <w:rPr>
          <w:rFonts w:hint="eastAsia" w:ascii="仿宋_GB2312" w:hAnsi="Arial" w:eastAsia="仿宋_GB2312" w:cs="Arial"/>
          <w:kern w:val="0"/>
          <w:sz w:val="32"/>
          <w:szCs w:val="32"/>
        </w:rPr>
        <w:t>在一些不足和差距，主要表现在：一是政务信息公开</w:t>
      </w:r>
      <w:r>
        <w:rPr>
          <w:rFonts w:hint="eastAsia" w:ascii="仿宋_GB2312" w:hAnsi="Arial" w:eastAsia="仿宋_GB2312" w:cs="Arial"/>
          <w:kern w:val="0"/>
          <w:sz w:val="32"/>
          <w:szCs w:val="32"/>
          <w:lang w:eastAsia="zh-CN"/>
        </w:rPr>
        <w:t>的时效性</w:t>
      </w:r>
      <w:r>
        <w:rPr>
          <w:rFonts w:hint="eastAsia" w:ascii="仿宋_GB2312" w:hAnsi="Arial" w:eastAsia="仿宋_GB2312" w:cs="Arial"/>
          <w:kern w:val="0"/>
          <w:sz w:val="32"/>
          <w:szCs w:val="32"/>
        </w:rPr>
        <w:t>有待进一步加</w:t>
      </w:r>
      <w:r>
        <w:rPr>
          <w:rFonts w:hint="eastAsia" w:ascii="仿宋_GB2312" w:hAnsi="Arial" w:eastAsia="仿宋_GB2312" w:cs="Arial"/>
          <w:kern w:val="0"/>
          <w:sz w:val="32"/>
          <w:szCs w:val="32"/>
          <w:lang w:eastAsia="zh-CN"/>
        </w:rPr>
        <w:t>强</w:t>
      </w:r>
      <w:r>
        <w:rPr>
          <w:rFonts w:hint="eastAsia" w:ascii="仿宋_GB2312" w:hAnsi="Arial" w:eastAsia="仿宋_GB2312" w:cs="Arial"/>
          <w:kern w:val="0"/>
          <w:sz w:val="32"/>
          <w:szCs w:val="32"/>
        </w:rPr>
        <w:t>；二是政务信息公开的</w:t>
      </w:r>
      <w:r>
        <w:rPr>
          <w:rFonts w:hint="eastAsia" w:ascii="仿宋_GB2312" w:hAnsi="Arial" w:eastAsia="仿宋_GB2312" w:cs="Arial"/>
          <w:kern w:val="0"/>
          <w:sz w:val="32"/>
          <w:szCs w:val="32"/>
          <w:lang w:eastAsia="zh-CN"/>
        </w:rPr>
        <w:t>规范性有待提升</w:t>
      </w:r>
      <w:r>
        <w:rPr>
          <w:rFonts w:hint="eastAsia" w:ascii="仿宋_GB2312" w:hAnsi="Arial" w:eastAsia="仿宋_GB2312" w:cs="Arial"/>
          <w:kern w:val="0"/>
          <w:sz w:val="32"/>
          <w:szCs w:val="32"/>
        </w:rPr>
        <w:t>；三是信息公开</w:t>
      </w:r>
      <w:r>
        <w:rPr>
          <w:rFonts w:hint="eastAsia" w:ascii="仿宋_GB2312" w:hAnsi="Arial" w:eastAsia="仿宋_GB2312" w:cs="Arial"/>
          <w:kern w:val="0"/>
          <w:sz w:val="32"/>
          <w:szCs w:val="32"/>
          <w:lang w:eastAsia="zh-CN"/>
        </w:rPr>
        <w:t>的实用性有待提高</w:t>
      </w:r>
      <w:r>
        <w:rPr>
          <w:rFonts w:hint="eastAsia" w:ascii="仿宋_GB2312" w:hAnsi="Arial" w:eastAsia="仿宋_GB2312" w:cs="Arial"/>
          <w:kern w:val="0"/>
          <w:sz w:val="32"/>
          <w:szCs w:val="32"/>
        </w:rPr>
        <w:t>。</w:t>
      </w:r>
    </w:p>
    <w:p>
      <w:pPr>
        <w:widowControl/>
        <w:spacing w:line="480" w:lineRule="atLeast"/>
        <w:ind w:firstLine="48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区</w:t>
      </w:r>
      <w:r>
        <w:rPr>
          <w:rFonts w:hint="eastAsia" w:ascii="仿宋_GB2312" w:hAnsi="Arial" w:eastAsia="仿宋_GB2312" w:cs="Arial"/>
          <w:kern w:val="0"/>
          <w:sz w:val="32"/>
          <w:szCs w:val="32"/>
          <w:lang w:eastAsia="zh-CN"/>
        </w:rPr>
        <w:t>审计局</w:t>
      </w:r>
      <w:r>
        <w:rPr>
          <w:rFonts w:hint="eastAsia" w:ascii="仿宋_GB2312" w:hAnsi="Arial" w:eastAsia="仿宋_GB2312" w:cs="Arial"/>
          <w:kern w:val="0"/>
          <w:sz w:val="32"/>
          <w:szCs w:val="32"/>
        </w:rPr>
        <w:t>将围绕区委区府重点</w:t>
      </w:r>
      <w:r>
        <w:rPr>
          <w:rFonts w:hint="eastAsia" w:ascii="仿宋_GB2312" w:hAnsi="Arial" w:eastAsia="仿宋_GB2312" w:cs="Arial"/>
          <w:kern w:val="0"/>
          <w:sz w:val="32"/>
          <w:szCs w:val="32"/>
          <w:lang w:eastAsia="zh-CN"/>
        </w:rPr>
        <w:t>中心</w:t>
      </w:r>
      <w:r>
        <w:rPr>
          <w:rFonts w:hint="eastAsia" w:ascii="仿宋_GB2312" w:hAnsi="Arial" w:eastAsia="仿宋_GB2312" w:cs="Arial"/>
          <w:kern w:val="0"/>
          <w:sz w:val="32"/>
          <w:szCs w:val="32"/>
        </w:rPr>
        <w:t>工作做好</w:t>
      </w:r>
      <w:r>
        <w:rPr>
          <w:rFonts w:hint="eastAsia" w:ascii="仿宋_GB2312" w:hAnsi="Arial" w:eastAsia="仿宋_GB2312" w:cs="Arial"/>
          <w:kern w:val="0"/>
          <w:sz w:val="32"/>
          <w:szCs w:val="32"/>
          <w:lang w:eastAsia="zh-CN"/>
        </w:rPr>
        <w:t>服务</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结合政府数字化改革</w:t>
      </w:r>
      <w:r>
        <w:rPr>
          <w:rFonts w:hint="eastAsia" w:ascii="仿宋_GB2312" w:hAnsi="Arial" w:eastAsia="仿宋_GB2312" w:cs="Arial"/>
          <w:kern w:val="0"/>
          <w:sz w:val="32"/>
          <w:szCs w:val="32"/>
        </w:rPr>
        <w:t>，促进</w:t>
      </w:r>
      <w:r>
        <w:rPr>
          <w:rFonts w:hint="eastAsia" w:ascii="仿宋_GB2312" w:hAnsi="Arial" w:eastAsia="仿宋_GB2312" w:cs="Arial"/>
          <w:kern w:val="0"/>
          <w:sz w:val="32"/>
          <w:szCs w:val="32"/>
          <w:lang w:eastAsia="zh-CN"/>
        </w:rPr>
        <w:t>政务</w:t>
      </w:r>
      <w:r>
        <w:rPr>
          <w:rFonts w:hint="eastAsia" w:ascii="仿宋_GB2312" w:hAnsi="Arial" w:eastAsia="仿宋_GB2312" w:cs="Arial"/>
          <w:kern w:val="0"/>
          <w:sz w:val="32"/>
          <w:szCs w:val="32"/>
        </w:rPr>
        <w:t>公开</w:t>
      </w:r>
      <w:r>
        <w:rPr>
          <w:rFonts w:hint="eastAsia" w:ascii="仿宋_GB2312" w:hAnsi="Arial" w:eastAsia="仿宋_GB2312" w:cs="Arial"/>
          <w:kern w:val="0"/>
          <w:sz w:val="32"/>
          <w:szCs w:val="32"/>
          <w:lang w:eastAsia="zh-CN"/>
        </w:rPr>
        <w:t>内容</w:t>
      </w:r>
      <w:r>
        <w:rPr>
          <w:rFonts w:hint="eastAsia" w:ascii="仿宋_GB2312" w:hAnsi="Arial" w:eastAsia="仿宋_GB2312" w:cs="Arial"/>
          <w:kern w:val="0"/>
          <w:sz w:val="32"/>
          <w:szCs w:val="32"/>
        </w:rPr>
        <w:t>多元化</w:t>
      </w:r>
      <w:r>
        <w:rPr>
          <w:rFonts w:hint="eastAsia" w:ascii="仿宋_GB2312" w:hAnsi="Arial" w:eastAsia="仿宋_GB2312" w:cs="Arial"/>
          <w:kern w:val="0"/>
          <w:sz w:val="32"/>
          <w:szCs w:val="32"/>
          <w:lang w:eastAsia="zh-CN"/>
        </w:rPr>
        <w:t>，形式多样化，</w:t>
      </w:r>
      <w:r>
        <w:rPr>
          <w:rFonts w:hint="eastAsia" w:ascii="仿宋_GB2312" w:hAnsi="Arial" w:eastAsia="仿宋_GB2312" w:cs="Arial"/>
          <w:kern w:val="0"/>
          <w:sz w:val="32"/>
          <w:szCs w:val="32"/>
        </w:rPr>
        <w:t>继续认真贯彻落实上级有关政务公开工作部署要求，加大信息宣传力度，回应社会关切，</w:t>
      </w:r>
      <w:r>
        <w:rPr>
          <w:rFonts w:hint="eastAsia" w:ascii="仿宋_GB2312" w:hAnsi="Arial" w:eastAsia="仿宋_GB2312" w:cs="Arial"/>
          <w:kern w:val="0"/>
          <w:sz w:val="32"/>
          <w:szCs w:val="32"/>
          <w:lang w:eastAsia="zh-CN"/>
        </w:rPr>
        <w:t>做到信息公开栏目齐全，更新及时，内容实用，切实提高公开信息的质量和水平，</w:t>
      </w:r>
      <w:r>
        <w:rPr>
          <w:rFonts w:hint="eastAsia" w:ascii="仿宋_GB2312" w:hAnsi="Arial" w:eastAsia="仿宋_GB2312" w:cs="Arial"/>
          <w:kern w:val="0"/>
          <w:sz w:val="32"/>
          <w:szCs w:val="32"/>
        </w:rPr>
        <w:t>提升政务公开工作</w:t>
      </w:r>
      <w:r>
        <w:rPr>
          <w:rFonts w:hint="eastAsia" w:ascii="仿宋_GB2312" w:hAnsi="Arial" w:eastAsia="仿宋_GB2312" w:cs="Arial"/>
          <w:kern w:val="0"/>
          <w:sz w:val="32"/>
          <w:szCs w:val="32"/>
          <w:lang w:eastAsia="zh-CN"/>
        </w:rPr>
        <w:t>能力</w:t>
      </w:r>
      <w:r>
        <w:rPr>
          <w:rFonts w:hint="eastAsia" w:ascii="仿宋_GB2312" w:hAnsi="Arial" w:eastAsia="仿宋_GB2312" w:cs="Arial"/>
          <w:kern w:val="0"/>
          <w:sz w:val="32"/>
          <w:szCs w:val="32"/>
        </w:rPr>
        <w:t>，</w:t>
      </w:r>
      <w:r>
        <w:rPr>
          <w:rFonts w:hint="eastAsia" w:ascii="仿宋_GB2312" w:hAnsi="Arial" w:eastAsia="仿宋_GB2312" w:cs="Arial"/>
          <w:color w:val="auto"/>
          <w:kern w:val="0"/>
          <w:sz w:val="32"/>
          <w:szCs w:val="32"/>
        </w:rPr>
        <w:t>依托</w:t>
      </w:r>
      <w:r>
        <w:rPr>
          <w:rFonts w:hint="eastAsia" w:ascii="仿宋_GB2312" w:hAnsi="Arial" w:eastAsia="仿宋_GB2312" w:cs="Arial"/>
          <w:color w:val="auto"/>
          <w:kern w:val="0"/>
          <w:sz w:val="32"/>
          <w:szCs w:val="32"/>
          <w:lang w:eastAsia="zh-CN"/>
        </w:rPr>
        <w:t>区</w:t>
      </w:r>
      <w:r>
        <w:rPr>
          <w:rFonts w:hint="eastAsia" w:ascii="仿宋_GB2312" w:hAnsi="Arial" w:eastAsia="仿宋_GB2312" w:cs="Arial"/>
          <w:color w:val="auto"/>
          <w:kern w:val="0"/>
          <w:sz w:val="32"/>
          <w:szCs w:val="32"/>
        </w:rPr>
        <w:t>政府信息公开平台，推进信息化建设规范和完</w:t>
      </w:r>
      <w:r>
        <w:rPr>
          <w:rFonts w:hint="eastAsia" w:ascii="仿宋_GB2312" w:hAnsi="Arial" w:eastAsia="仿宋_GB2312" w:cs="Arial"/>
          <w:kern w:val="0"/>
          <w:sz w:val="32"/>
          <w:szCs w:val="32"/>
        </w:rPr>
        <w:t>善，</w:t>
      </w:r>
      <w:r>
        <w:rPr>
          <w:rFonts w:hint="eastAsia" w:ascii="仿宋_GB2312" w:hAnsi="Arial" w:eastAsia="仿宋_GB2312" w:cs="Arial"/>
          <w:kern w:val="0"/>
          <w:sz w:val="32"/>
          <w:szCs w:val="32"/>
          <w:lang w:eastAsia="zh-CN"/>
        </w:rPr>
        <w:t>使</w:t>
      </w:r>
      <w:r>
        <w:rPr>
          <w:rFonts w:hint="eastAsia" w:ascii="仿宋_GB2312" w:hAnsi="Arial" w:eastAsia="仿宋_GB2312" w:cs="Arial"/>
          <w:kern w:val="0"/>
          <w:sz w:val="32"/>
          <w:szCs w:val="32"/>
        </w:rPr>
        <w:t>审计</w:t>
      </w:r>
      <w:r>
        <w:rPr>
          <w:rFonts w:hint="eastAsia" w:ascii="仿宋_GB2312" w:hAnsi="Arial" w:eastAsia="仿宋_GB2312" w:cs="Arial"/>
          <w:kern w:val="0"/>
          <w:sz w:val="32"/>
          <w:szCs w:val="32"/>
          <w:lang w:eastAsia="zh-CN"/>
        </w:rPr>
        <w:t>业务</w:t>
      </w:r>
      <w:r>
        <w:rPr>
          <w:rFonts w:hint="eastAsia" w:ascii="仿宋_GB2312" w:hAnsi="Arial" w:eastAsia="仿宋_GB2312" w:cs="Arial"/>
          <w:kern w:val="0"/>
          <w:sz w:val="32"/>
          <w:szCs w:val="32"/>
        </w:rPr>
        <w:t>整体信息化</w:t>
      </w:r>
      <w:r>
        <w:rPr>
          <w:rFonts w:hint="eastAsia" w:ascii="仿宋_GB2312" w:hAnsi="Arial" w:eastAsia="仿宋_GB2312" w:cs="Arial"/>
          <w:kern w:val="0"/>
          <w:sz w:val="32"/>
          <w:szCs w:val="32"/>
          <w:lang w:eastAsia="zh-CN"/>
        </w:rPr>
        <w:t>更上一个台阶</w:t>
      </w:r>
      <w:r>
        <w:rPr>
          <w:rFonts w:hint="eastAsia" w:ascii="仿宋_GB2312" w:hAnsi="Arial" w:eastAsia="仿宋_GB2312" w:cs="Arial"/>
          <w:kern w:val="0"/>
          <w:sz w:val="32"/>
          <w:szCs w:val="32"/>
        </w:rPr>
        <w:t>。</w:t>
      </w:r>
    </w:p>
    <w:p>
      <w:pPr>
        <w:widowControl/>
        <w:spacing w:line="480" w:lineRule="atLeast"/>
        <w:ind w:firstLine="480"/>
        <w:jc w:val="left"/>
        <w:rPr>
          <w:rFonts w:ascii="黑体" w:hAnsi="黑体" w:eastAsia="黑体" w:cs="Arial"/>
          <w:kern w:val="0"/>
          <w:sz w:val="32"/>
          <w:szCs w:val="32"/>
        </w:rPr>
      </w:pPr>
      <w:r>
        <w:rPr>
          <w:rFonts w:hint="eastAsia" w:ascii="黑体" w:hAnsi="黑体" w:eastAsia="黑体" w:cs="Arial"/>
          <w:kern w:val="0"/>
          <w:sz w:val="32"/>
          <w:szCs w:val="32"/>
          <w:lang w:eastAsia="zh-CN"/>
        </w:rPr>
        <w:t>六</w:t>
      </w:r>
      <w:r>
        <w:rPr>
          <w:rFonts w:ascii="黑体" w:hAnsi="黑体" w:eastAsia="黑体" w:cs="Arial"/>
          <w:kern w:val="0"/>
          <w:sz w:val="32"/>
          <w:szCs w:val="32"/>
        </w:rPr>
        <w:t>、其他需要报告的事项</w:t>
      </w:r>
    </w:p>
    <w:p>
      <w:pPr>
        <w:keepNext w:val="0"/>
        <w:keepLines w:val="0"/>
        <w:widowControl/>
        <w:numPr>
          <w:ilvl w:val="0"/>
          <w:numId w:val="0"/>
        </w:numPr>
        <w:suppressLineNumbers w:val="0"/>
        <w:spacing w:before="0" w:beforeAutospacing="0" w:after="0" w:afterAutospacing="0" w:line="240" w:lineRule="auto"/>
        <w:ind w:right="0" w:firstLine="640" w:firstLineChars="200"/>
        <w:jc w:val="both"/>
        <w:rPr>
          <w:rFonts w:hint="eastAsia" w:ascii="仿宋_GB2312" w:hAnsi="仿宋_GB2312" w:eastAsia="仿宋_GB2312" w:cs="仿宋_GB2312"/>
          <w:i w:val="0"/>
          <w:iCs w:val="0"/>
          <w:color w:val="000000" w:themeColor="text1"/>
          <w:sz w:val="32"/>
          <w:szCs w:val="32"/>
          <w:lang w:eastAsia="zh-CN"/>
        </w:rPr>
      </w:pPr>
      <w:r>
        <w:rPr>
          <w:rFonts w:hint="eastAsia" w:ascii="仿宋_GB2312" w:hAnsi="仿宋_GB2312" w:eastAsia="仿宋_GB2312" w:cs="仿宋_GB2312"/>
          <w:color w:val="000000" w:themeColor="text1"/>
          <w:kern w:val="0"/>
          <w:sz w:val="32"/>
          <w:szCs w:val="32"/>
          <w:lang w:eastAsia="zh-CN" w:bidi="ar"/>
        </w:rPr>
        <w:t>区审计局2021年度</w:t>
      </w:r>
      <w:r>
        <w:rPr>
          <w:rFonts w:hint="eastAsia" w:ascii="仿宋_GB2312" w:hAnsi="仿宋_GB2312" w:eastAsia="仿宋_GB2312" w:cs="仿宋_GB2312"/>
          <w:color w:val="000000" w:themeColor="text1"/>
          <w:kern w:val="0"/>
          <w:sz w:val="32"/>
          <w:szCs w:val="32"/>
          <w:lang w:val="en-US" w:eastAsia="zh-CN" w:bidi="ar"/>
        </w:rPr>
        <w:t>未收到政府信息公开申请，故未产生任何有关政府信息公开信息处理事项及费用。</w:t>
      </w:r>
      <w:r>
        <w:rPr>
          <w:rFonts w:hint="eastAsia" w:ascii="仿宋_GB2312" w:hAnsi="仿宋_GB2312" w:eastAsia="仿宋_GB2312" w:cs="仿宋_GB2312"/>
          <w:color w:val="000000" w:themeColor="text1"/>
          <w:kern w:val="0"/>
          <w:sz w:val="32"/>
          <w:szCs w:val="32"/>
          <w:lang w:eastAsia="zh-CN" w:bidi="ar"/>
        </w:rPr>
        <w:t>特此说明。</w:t>
      </w:r>
    </w:p>
    <w:p>
      <w:pPr>
        <w:widowControl/>
        <w:spacing w:line="480" w:lineRule="atLeast"/>
        <w:ind w:firstLine="480"/>
        <w:jc w:val="right"/>
        <w:rPr>
          <w:rFonts w:hint="eastAsia" w:ascii="Arial" w:hAnsi="Arial" w:eastAsia="宋体" w:cs="Arial"/>
          <w:kern w:val="0"/>
          <w:sz w:val="22"/>
        </w:rPr>
      </w:pPr>
    </w:p>
    <w:p>
      <w:pPr>
        <w:widowControl/>
        <w:spacing w:line="480" w:lineRule="atLeast"/>
        <w:ind w:firstLine="480"/>
        <w:jc w:val="center"/>
        <w:rPr>
          <w:rFonts w:hint="eastAsia" w:ascii="仿宋_GB2312" w:hAnsi="Arial" w:eastAsia="仿宋_GB2312" w:cs="Arial"/>
          <w:kern w:val="0"/>
          <w:sz w:val="32"/>
          <w:szCs w:val="32"/>
        </w:rPr>
      </w:pPr>
      <w:r>
        <w:rPr>
          <w:rFonts w:hint="eastAsia" w:ascii="Arial" w:hAnsi="Arial" w:eastAsia="宋体" w:cs="Arial"/>
          <w:kern w:val="0"/>
          <w:sz w:val="22"/>
        </w:rPr>
        <w:t xml:space="preserve">                                           </w:t>
      </w:r>
      <w:r>
        <w:rPr>
          <w:rFonts w:hint="eastAsia" w:ascii="仿宋_GB2312" w:hAnsi="Arial" w:eastAsia="仿宋_GB2312" w:cs="Arial"/>
          <w:kern w:val="0"/>
          <w:sz w:val="32"/>
          <w:szCs w:val="32"/>
        </w:rPr>
        <w:t>宁波市北仑区审计局</w:t>
      </w:r>
    </w:p>
    <w:p>
      <w:pPr>
        <w:widowControl/>
        <w:spacing w:line="480" w:lineRule="atLeast"/>
        <w:ind w:firstLine="480"/>
        <w:jc w:val="center"/>
        <w:rPr>
          <w:rFonts w:hint="eastAsia" w:ascii="仿宋_GB2312" w:eastAsia="仿宋_GB2312"/>
          <w:sz w:val="32"/>
          <w:szCs w:val="32"/>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val="en-US" w:eastAsia="zh-CN"/>
        </w:rPr>
        <w:t xml:space="preserve"> </w:t>
      </w:r>
      <w:r>
        <w:rPr>
          <w:rFonts w:hint="eastAsia" w:ascii="仿宋_GB2312" w:hAnsi="Arial" w:eastAsia="仿宋_GB2312" w:cs="Arial"/>
          <w:kern w:val="0"/>
          <w:sz w:val="32"/>
          <w:szCs w:val="32"/>
        </w:rPr>
        <w:t>202</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年1月</w:t>
      </w:r>
      <w:r>
        <w:rPr>
          <w:rFonts w:hint="eastAsia" w:ascii="仿宋_GB2312" w:hAnsi="Arial" w:eastAsia="仿宋_GB2312" w:cs="Arial"/>
          <w:kern w:val="0"/>
          <w:sz w:val="32"/>
          <w:szCs w:val="32"/>
          <w:lang w:val="en-US" w:eastAsia="zh-CN"/>
        </w:rPr>
        <w:t>21</w:t>
      </w:r>
      <w:r>
        <w:rPr>
          <w:rFonts w:hint="eastAsia" w:ascii="仿宋_GB2312" w:hAnsi="Arial" w:eastAsia="仿宋_GB2312" w:cs="Arial"/>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2490"/>
    <w:rsid w:val="00077269"/>
    <w:rsid w:val="00522490"/>
    <w:rsid w:val="009F6CA4"/>
    <w:rsid w:val="00C82E0F"/>
    <w:rsid w:val="00DC3E8F"/>
    <w:rsid w:val="00FE21C0"/>
    <w:rsid w:val="067A78CF"/>
    <w:rsid w:val="0FB706FF"/>
    <w:rsid w:val="10743BEB"/>
    <w:rsid w:val="11A27B64"/>
    <w:rsid w:val="1580336B"/>
    <w:rsid w:val="1CDA2129"/>
    <w:rsid w:val="22B24619"/>
    <w:rsid w:val="2FF9373D"/>
    <w:rsid w:val="3143437D"/>
    <w:rsid w:val="33553294"/>
    <w:rsid w:val="35340F98"/>
    <w:rsid w:val="3BAA6047"/>
    <w:rsid w:val="42922AC2"/>
    <w:rsid w:val="45FF6497"/>
    <w:rsid w:val="48755FCC"/>
    <w:rsid w:val="494B01AC"/>
    <w:rsid w:val="49C736AC"/>
    <w:rsid w:val="51CF4B2A"/>
    <w:rsid w:val="5940601C"/>
    <w:rsid w:val="65F9673E"/>
    <w:rsid w:val="66006874"/>
    <w:rsid w:val="679213F8"/>
    <w:rsid w:val="6CA42DE8"/>
    <w:rsid w:val="74686674"/>
    <w:rsid w:val="76487361"/>
    <w:rsid w:val="77A42619"/>
    <w:rsid w:val="7F3F0FA9"/>
    <w:rsid w:val="7FDE2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300" w:lineRule="auto"/>
      <w:ind w:left="0" w:leftChars="0"/>
    </w:pPr>
    <w:rPr>
      <w:rFonts w:hint="default" w:ascii="Calibri" w:hAnsi="Calibri"/>
      <w:i/>
      <w:sz w:val="21"/>
    </w:rPr>
  </w:style>
  <w:style w:type="paragraph" w:styleId="3">
    <w:name w:val="Body Text Indent"/>
    <w:basedOn w:val="1"/>
    <w:unhideWhenUsed/>
    <w:qFormat/>
    <w:uiPriority w:val="99"/>
    <w:pPr>
      <w:spacing w:after="120"/>
      <w:ind w:left="420" w:leftChars="200"/>
    </w:pPr>
    <w:rPr>
      <w:rFonts w:hint="default"/>
      <w:sz w:val="21"/>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line="480" w:lineRule="atLeast"/>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399</Words>
  <Characters>2279</Characters>
  <Lines>18</Lines>
  <Paragraphs>5</Paragraphs>
  <TotalTime>0</TotalTime>
  <ScaleCrop>false</ScaleCrop>
  <LinksUpToDate>false</LinksUpToDate>
  <CharactersWithSpaces>2673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2020-03-21T07:18:00Z</dcterms:created>
  <dc:creator>张煜争</dc:creator>
  <cp:lastModifiedBy>Administrator</cp:lastModifiedBy>
  <dcterms:modified xsi:type="dcterms:W3CDTF">2022-01-25T06:19:13Z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