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9E" w:rsidRDefault="005A4A8E">
      <w:pPr>
        <w:pStyle w:val="a6"/>
        <w:spacing w:beforeAutospacing="0" w:afterAutospacing="0" w:line="600" w:lineRule="exact"/>
        <w:jc w:val="center"/>
        <w:rPr>
          <w:rFonts w:ascii="方正小标宋简体" w:eastAsia="方正小标宋简体" w:hAnsi="方正小标宋简体" w:cs="方正小标宋简体"/>
          <w:bCs/>
          <w:snapToGrid w:val="0"/>
          <w:color w:val="000000"/>
          <w:spacing w:val="-11"/>
          <w:sz w:val="36"/>
        </w:rPr>
      </w:pPr>
      <w:r>
        <w:rPr>
          <w:rFonts w:ascii="方正小标宋简体" w:eastAsia="方正小标宋简体" w:hAnsi="方正小标宋简体" w:cs="方正小标宋简体" w:hint="eastAsia"/>
          <w:bCs/>
          <w:snapToGrid w:val="0"/>
          <w:color w:val="000000"/>
          <w:spacing w:val="-11"/>
          <w:sz w:val="36"/>
        </w:rPr>
        <w:t>宁波市北仑区气象局2021年度政府信息公开工作年度报告</w:t>
      </w:r>
    </w:p>
    <w:p w:rsidR="009C7D9E" w:rsidRDefault="009C7D9E">
      <w:pPr>
        <w:pStyle w:val="a6"/>
        <w:spacing w:beforeAutospacing="0" w:afterAutospacing="0" w:line="600" w:lineRule="exact"/>
        <w:ind w:firstLine="420"/>
        <w:jc w:val="both"/>
        <w:rPr>
          <w:rFonts w:ascii="黑体" w:eastAsia="黑体" w:hAnsi="黑体" w:cs="黑体"/>
          <w:bCs/>
          <w:color w:val="000000"/>
          <w:sz w:val="32"/>
          <w:szCs w:val="32"/>
        </w:rPr>
      </w:pPr>
    </w:p>
    <w:p w:rsidR="009C7D9E" w:rsidRDefault="005A4A8E">
      <w:pPr>
        <w:pStyle w:val="a6"/>
        <w:spacing w:beforeAutospacing="0" w:afterAutospacing="0" w:line="600" w:lineRule="exact"/>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报告是根据《中华人民共和国政府信息公开条例》（国务院令第711号）和《国务院办公厅政府信息与政务公开办公室关于政府信息公开工作年度报告有关事项的通知》（国办公开办函〔2019〕60号）、国务院办公厅政府信息与政务公开办公室关于印发《中华人民共和国政府信息公开工作年度报告格式》的通知（国办公开办函〔2021〕30号）文件要求编制。全文包含总体情况、行政机关主动公开政府信息情况、行政机关收到和处理政府信息公开申请情况、因政府信息公开工作被申请行政复议、提起行政诉讼情况、政府信息公开工作存在的主要问题及改进情况、其他需要报告的事项六个方面。本年度报告所列数据的统计期限自2021年1月1日起,2021年12月31日止。如对本报告有任何疑问，请联系北仑区气象局办公室（地址：北仑区太河南路999号，邮编：315826，联系电话:0574-86783711）。</w:t>
      </w:r>
    </w:p>
    <w:p w:rsidR="009C7D9E" w:rsidRDefault="005A4A8E">
      <w:pPr>
        <w:pStyle w:val="a6"/>
        <w:spacing w:beforeAutospacing="0" w:afterAutospacing="0" w:line="60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一、总体情况</w:t>
      </w:r>
    </w:p>
    <w:p w:rsidR="009C7D9E" w:rsidRDefault="005A4A8E">
      <w:pPr>
        <w:widowControl w:val="0"/>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2021年，北仑区气象局按照区政府的统一部署，加强领导，健全制度，落实责任，加强信息发布、解读和回应工作，扩大公众参与度，依法、及时、准确地开展政府信息公开工作。</w:t>
      </w:r>
    </w:p>
    <w:p w:rsidR="009C7D9E" w:rsidRDefault="005A4A8E">
      <w:pPr>
        <w:spacing w:line="560" w:lineRule="exact"/>
        <w:ind w:firstLine="482"/>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一是加强组织领导。</w:t>
      </w:r>
      <w:r>
        <w:rPr>
          <w:rFonts w:ascii="仿宋_GB2312" w:eastAsia="仿宋_GB2312" w:hAnsi="宋体" w:cs="宋体" w:hint="eastAsia"/>
          <w:bCs/>
          <w:color w:val="333333"/>
          <w:kern w:val="0"/>
          <w:sz w:val="32"/>
          <w:szCs w:val="32"/>
        </w:rPr>
        <w:t>不断提高对政府信息工作的思想认识，调整北仑区气</w:t>
      </w:r>
      <w:r>
        <w:rPr>
          <w:rFonts w:ascii="仿宋_GB2312" w:eastAsia="仿宋_GB2312" w:hAnsi="宋体" w:cs="宋体" w:hint="eastAsia"/>
          <w:color w:val="333333"/>
          <w:kern w:val="0"/>
          <w:sz w:val="32"/>
          <w:szCs w:val="32"/>
        </w:rPr>
        <w:t>象局政府信息公开工作领导小组，由局长担任领导小组组长，分管副局长担任副组长，各科室长为领导小组成员，</w:t>
      </w:r>
      <w:r>
        <w:rPr>
          <w:rFonts w:ascii="仿宋_GB2312" w:eastAsia="仿宋_GB2312" w:hAnsi="宋体" w:cs="宋体" w:hint="eastAsia"/>
          <w:color w:val="333333"/>
          <w:kern w:val="0"/>
          <w:sz w:val="32"/>
          <w:szCs w:val="32"/>
        </w:rPr>
        <w:lastRenderedPageBreak/>
        <w:t>工作职责明确，责任落实。局办公室负责组织协调，各有关科室根据任务分解具体负责信息工作的落实，各科室长为本科室第一责任人，指导专人负责信息的梳理和日常工作的处理，确保政府信息公开工作的顺利进行。</w:t>
      </w:r>
    </w:p>
    <w:p w:rsidR="009C7D9E" w:rsidRDefault="005A4A8E">
      <w:pPr>
        <w:spacing w:line="560" w:lineRule="exact"/>
        <w:ind w:firstLine="482"/>
        <w:jc w:val="left"/>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二是加强规范管理。</w:t>
      </w:r>
      <w:r>
        <w:rPr>
          <w:rFonts w:ascii="仿宋_GB2312" w:eastAsia="仿宋_GB2312" w:hAnsi="宋体" w:cs="宋体" w:hint="eastAsia"/>
          <w:color w:val="333333"/>
          <w:kern w:val="0"/>
          <w:sz w:val="32"/>
          <w:szCs w:val="32"/>
        </w:rPr>
        <w:t>强化内部管理，做好政府信息公开的日常监督和组织协调，发现问题，及时纠正。为确保政府信息公开的真实、及时、有效、安全，落实公开前审查制度，做好政府信息公开前的文件审核签发工作，对拟公开的文件进行严格审查，未经审查的文件不得公开。严格执行保密规定，确保公开的信息不涉密、涉密的信息不公开。</w:t>
      </w:r>
    </w:p>
    <w:p w:rsidR="009C7D9E" w:rsidRPr="009B4465" w:rsidRDefault="005A4A8E">
      <w:pPr>
        <w:spacing w:line="560" w:lineRule="exact"/>
        <w:ind w:firstLine="482"/>
        <w:jc w:val="left"/>
        <w:rPr>
          <w:rFonts w:ascii="仿宋_GB2312" w:eastAsia="仿宋_GB2312" w:hAnsi="宋体" w:cs="宋体"/>
          <w:kern w:val="0"/>
          <w:sz w:val="32"/>
          <w:szCs w:val="32"/>
        </w:rPr>
      </w:pPr>
      <w:r>
        <w:rPr>
          <w:rFonts w:ascii="仿宋_GB2312" w:eastAsia="仿宋_GB2312" w:hAnsi="宋体" w:cs="宋体" w:hint="eastAsia"/>
          <w:b/>
          <w:color w:val="333333"/>
          <w:kern w:val="0"/>
          <w:sz w:val="32"/>
          <w:szCs w:val="32"/>
        </w:rPr>
        <w:t>三是加强公开力度。</w:t>
      </w:r>
      <w:r>
        <w:rPr>
          <w:rFonts w:ascii="仿宋_GB2312" w:eastAsia="仿宋_GB2312" w:hAnsi="宋体" w:cs="宋体" w:hint="eastAsia"/>
          <w:color w:val="333333"/>
          <w:kern w:val="0"/>
          <w:sz w:val="32"/>
          <w:szCs w:val="32"/>
        </w:rPr>
        <w:t>自觉接受社会群众监督，在政府信息公开网公开监督投诉电话，要求对收到的各种投诉，及时查实，及时处理。截止2021年12月31日，本单位在北仑区政府信息公开网站主动公开</w:t>
      </w:r>
      <w:r>
        <w:rPr>
          <w:rFonts w:ascii="仿宋_GB2312" w:eastAsia="仿宋_GB2312" w:hAnsi="宋体" w:cs="宋体" w:hint="eastAsia"/>
          <w:kern w:val="0"/>
          <w:sz w:val="32"/>
          <w:szCs w:val="32"/>
        </w:rPr>
        <w:t>包括财政信息、工作信息、人事信息等政务信息数量共计123条</w:t>
      </w:r>
      <w:r w:rsidRPr="009B4465">
        <w:rPr>
          <w:rFonts w:ascii="仿宋_GB2312" w:eastAsia="仿宋_GB2312" w:hAnsi="宋体" w:cs="宋体" w:hint="eastAsia"/>
          <w:kern w:val="0"/>
          <w:sz w:val="32"/>
          <w:szCs w:val="32"/>
        </w:rPr>
        <w:t>。</w:t>
      </w:r>
      <w:bookmarkStart w:id="0" w:name="_GoBack"/>
      <w:bookmarkEnd w:id="0"/>
      <w:r w:rsidR="00095B44" w:rsidRPr="009B4465">
        <w:rPr>
          <w:rFonts w:ascii="仿宋_GB2312" w:eastAsia="仿宋_GB2312" w:hAnsi="宋体" w:cs="宋体" w:hint="eastAsia"/>
          <w:kern w:val="0"/>
          <w:sz w:val="32"/>
          <w:szCs w:val="32"/>
        </w:rPr>
        <w:t>全年没有发生因政务公开工作被追究责任的情况。</w:t>
      </w:r>
    </w:p>
    <w:p w:rsidR="009C7D9E" w:rsidRDefault="005A4A8E">
      <w:pPr>
        <w:pStyle w:val="a6"/>
        <w:spacing w:beforeAutospacing="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二、主动公开政府信息情况</w:t>
      </w:r>
    </w:p>
    <w:tbl>
      <w:tblPr>
        <w:tblW w:w="0" w:type="auto"/>
        <w:jc w:val="center"/>
        <w:tblLayout w:type="fixed"/>
        <w:tblCellMar>
          <w:left w:w="0" w:type="dxa"/>
          <w:right w:w="0" w:type="dxa"/>
        </w:tblCellMar>
        <w:tblLook w:val="04A0"/>
      </w:tblPr>
      <w:tblGrid>
        <w:gridCol w:w="2189"/>
        <w:gridCol w:w="2188"/>
        <w:gridCol w:w="2189"/>
        <w:gridCol w:w="2188"/>
      </w:tblGrid>
      <w:tr w:rsidR="009C7D9E">
        <w:trPr>
          <w:trHeight w:val="340"/>
          <w:jc w:val="center"/>
        </w:trPr>
        <w:tc>
          <w:tcPr>
            <w:tcW w:w="8754"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第二十条第（一）项</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信息内容</w:t>
            </w:r>
          </w:p>
        </w:tc>
        <w:tc>
          <w:tcPr>
            <w:tcW w:w="2188" w:type="dxa"/>
            <w:tcBorders>
              <w:top w:val="single" w:sz="8" w:space="0" w:color="auto"/>
              <w:left w:val="nil"/>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本年</w:t>
            </w:r>
            <w:r>
              <w:rPr>
                <w:rFonts w:ascii="宋体" w:hAnsi="宋体" w:cs="宋体" w:hint="eastAsia"/>
                <w:color w:val="333333"/>
                <w:kern w:val="0"/>
                <w:sz w:val="20"/>
              </w:rPr>
              <w:t>制发件数</w:t>
            </w:r>
          </w:p>
        </w:tc>
        <w:tc>
          <w:tcPr>
            <w:tcW w:w="2189" w:type="dxa"/>
            <w:tcBorders>
              <w:top w:val="single" w:sz="8" w:space="0" w:color="auto"/>
              <w:left w:val="nil"/>
              <w:bottom w:val="single" w:sz="8" w:space="0" w:color="auto"/>
              <w:right w:val="single" w:sz="4"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本年废止件数</w:t>
            </w:r>
          </w:p>
        </w:tc>
        <w:tc>
          <w:tcPr>
            <w:tcW w:w="2188" w:type="dxa"/>
            <w:tcBorders>
              <w:top w:val="single" w:sz="8" w:space="0" w:color="auto"/>
              <w:left w:val="nil"/>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现行有效件</w:t>
            </w:r>
            <w:r>
              <w:rPr>
                <w:rFonts w:ascii="宋体" w:hAnsi="宋体" w:cs="宋体" w:hint="eastAsia"/>
                <w:color w:val="333333"/>
                <w:kern w:val="0"/>
                <w:sz w:val="20"/>
              </w:rPr>
              <w:t>数</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规章</w:t>
            </w:r>
          </w:p>
        </w:tc>
        <w:tc>
          <w:tcPr>
            <w:tcW w:w="2188" w:type="dxa"/>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xml:space="preserve">　　0</w:t>
            </w:r>
          </w:p>
        </w:tc>
        <w:tc>
          <w:tcPr>
            <w:tcW w:w="2189" w:type="dxa"/>
            <w:tcBorders>
              <w:top w:val="nil"/>
              <w:left w:val="nil"/>
              <w:bottom w:val="single" w:sz="8" w:space="0" w:color="auto"/>
              <w:right w:val="single" w:sz="4"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0</w:t>
            </w:r>
          </w:p>
        </w:tc>
        <w:tc>
          <w:tcPr>
            <w:tcW w:w="2188" w:type="dxa"/>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Calibri" w:hAnsi="Calibri" w:cs="Calibri"/>
                <w:color w:val="333333"/>
                <w:szCs w:val="21"/>
              </w:rPr>
              <w:t> </w:t>
            </w:r>
            <w:r>
              <w:rPr>
                <w:rFonts w:ascii="Calibri" w:hAnsi="Calibri" w:cs="Calibri" w:hint="eastAsia"/>
                <w:color w:val="333333"/>
                <w:szCs w:val="21"/>
              </w:rPr>
              <w:t>0</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行政规范性文件</w:t>
            </w:r>
          </w:p>
        </w:tc>
        <w:tc>
          <w:tcPr>
            <w:tcW w:w="2188" w:type="dxa"/>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xml:space="preserve">　　0</w:t>
            </w:r>
          </w:p>
        </w:tc>
        <w:tc>
          <w:tcPr>
            <w:tcW w:w="2189" w:type="dxa"/>
            <w:tcBorders>
              <w:top w:val="nil"/>
              <w:left w:val="nil"/>
              <w:bottom w:val="single" w:sz="8" w:space="0" w:color="auto"/>
              <w:right w:val="single" w:sz="4"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0</w:t>
            </w:r>
          </w:p>
        </w:tc>
        <w:tc>
          <w:tcPr>
            <w:tcW w:w="2188" w:type="dxa"/>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Calibri" w:hAnsi="Calibri" w:cs="Calibri"/>
                <w:color w:val="333333"/>
                <w:szCs w:val="21"/>
              </w:rPr>
              <w:t> </w:t>
            </w:r>
            <w:r>
              <w:rPr>
                <w:rFonts w:ascii="Calibri" w:hAnsi="Calibri" w:cs="Calibri" w:hint="eastAsia"/>
                <w:color w:val="333333"/>
                <w:szCs w:val="21"/>
              </w:rPr>
              <w:t>0</w:t>
            </w:r>
          </w:p>
        </w:tc>
      </w:tr>
      <w:tr w:rsidR="009C7D9E">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第二十条第（五）项</w:t>
            </w:r>
          </w:p>
        </w:tc>
      </w:tr>
      <w:tr w:rsidR="009C7D9E">
        <w:trPr>
          <w:trHeight w:val="340"/>
          <w:jc w:val="center"/>
        </w:trPr>
        <w:tc>
          <w:tcPr>
            <w:tcW w:w="2189" w:type="dxa"/>
            <w:tcBorders>
              <w:top w:val="nil"/>
              <w:left w:val="single" w:sz="8" w:space="0" w:color="auto"/>
              <w:bottom w:val="single" w:sz="8" w:space="0" w:color="auto"/>
              <w:right w:val="single" w:sz="4"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信息内容</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本年处理决定数量</w:t>
            </w:r>
          </w:p>
        </w:tc>
      </w:tr>
      <w:tr w:rsidR="009C7D9E">
        <w:trPr>
          <w:trHeight w:val="340"/>
          <w:jc w:val="center"/>
        </w:trPr>
        <w:tc>
          <w:tcPr>
            <w:tcW w:w="2189" w:type="dxa"/>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行政许可</w:t>
            </w:r>
          </w:p>
        </w:tc>
        <w:tc>
          <w:tcPr>
            <w:tcW w:w="6565" w:type="dxa"/>
            <w:gridSpan w:val="3"/>
            <w:tcBorders>
              <w:top w:val="single" w:sz="8" w:space="0" w:color="auto"/>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Calibri" w:hAnsi="Calibri" w:cs="Calibri" w:hint="eastAsia"/>
                <w:color w:val="333333"/>
                <w:szCs w:val="21"/>
              </w:rPr>
              <w:t>52</w:t>
            </w:r>
          </w:p>
        </w:tc>
      </w:tr>
      <w:tr w:rsidR="009C7D9E">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第二十条第（六）项</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信息内容</w:t>
            </w:r>
          </w:p>
        </w:tc>
        <w:tc>
          <w:tcPr>
            <w:tcW w:w="6565" w:type="dxa"/>
            <w:gridSpan w:val="3"/>
            <w:tcBorders>
              <w:top w:val="single" w:sz="8" w:space="0" w:color="auto"/>
              <w:left w:val="nil"/>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本年处理决定数量</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行政处罚</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xml:space="preserve">　0</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lastRenderedPageBreak/>
              <w:t>行政强制</w:t>
            </w:r>
          </w:p>
        </w:tc>
        <w:tc>
          <w:tcPr>
            <w:tcW w:w="6565" w:type="dxa"/>
            <w:gridSpan w:val="3"/>
            <w:tcBorders>
              <w:top w:val="nil"/>
              <w:left w:val="nil"/>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 xml:space="preserve">　0</w:t>
            </w:r>
          </w:p>
        </w:tc>
      </w:tr>
      <w:tr w:rsidR="009C7D9E">
        <w:trPr>
          <w:trHeight w:val="340"/>
          <w:jc w:val="center"/>
        </w:trPr>
        <w:tc>
          <w:tcPr>
            <w:tcW w:w="8754"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第二十条第（八）项</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信息内容</w:t>
            </w:r>
          </w:p>
        </w:tc>
        <w:tc>
          <w:tcPr>
            <w:tcW w:w="6565" w:type="dxa"/>
            <w:gridSpan w:val="3"/>
            <w:tcBorders>
              <w:top w:val="nil"/>
              <w:left w:val="nil"/>
              <w:bottom w:val="single" w:sz="8" w:space="0" w:color="auto"/>
              <w:right w:val="single" w:sz="8" w:space="0" w:color="000000"/>
            </w:tcBorders>
            <w:tcMar>
              <w:left w:w="57" w:type="dxa"/>
              <w:right w:w="57" w:type="dxa"/>
            </w:tcMar>
            <w:vAlign w:val="center"/>
          </w:tcPr>
          <w:p w:rsidR="009C7D9E" w:rsidRDefault="005A4A8E">
            <w:pPr>
              <w:spacing w:line="30" w:lineRule="atLeast"/>
              <w:jc w:val="center"/>
            </w:pPr>
            <w:r>
              <w:rPr>
                <w:rFonts w:ascii="宋体" w:hAnsi="宋体" w:cs="宋体" w:hint="eastAsia"/>
                <w:color w:val="000000"/>
                <w:kern w:val="0"/>
                <w:sz w:val="20"/>
              </w:rPr>
              <w:t>本年收费金额（单位：万元）</w:t>
            </w:r>
          </w:p>
        </w:tc>
      </w:tr>
      <w:tr w:rsidR="009C7D9E">
        <w:trPr>
          <w:trHeight w:val="340"/>
          <w:jc w:val="center"/>
        </w:trPr>
        <w:tc>
          <w:tcPr>
            <w:tcW w:w="2189" w:type="dxa"/>
            <w:tcBorders>
              <w:top w:val="nil"/>
              <w:left w:val="single" w:sz="8" w:space="0" w:color="auto"/>
              <w:bottom w:val="single" w:sz="8" w:space="0" w:color="auto"/>
              <w:right w:val="single" w:sz="8" w:space="0" w:color="auto"/>
            </w:tcBorders>
            <w:tcMar>
              <w:left w:w="57" w:type="dxa"/>
              <w:right w:w="57" w:type="dxa"/>
            </w:tcMar>
            <w:vAlign w:val="center"/>
          </w:tcPr>
          <w:p w:rsidR="009C7D9E" w:rsidRDefault="005A4A8E">
            <w:pPr>
              <w:spacing w:line="30" w:lineRule="atLeast"/>
              <w:jc w:val="left"/>
            </w:pPr>
            <w:r>
              <w:rPr>
                <w:rFonts w:ascii="宋体" w:hAnsi="宋体" w:cs="宋体" w:hint="eastAsia"/>
                <w:color w:val="000000"/>
                <w:kern w:val="0"/>
                <w:sz w:val="20"/>
              </w:rPr>
              <w:t>行政事业性收费</w:t>
            </w:r>
          </w:p>
        </w:tc>
        <w:tc>
          <w:tcPr>
            <w:tcW w:w="6565" w:type="dxa"/>
            <w:gridSpan w:val="3"/>
            <w:tcBorders>
              <w:top w:val="nil"/>
              <w:left w:val="nil"/>
              <w:bottom w:val="single" w:sz="8" w:space="0" w:color="auto"/>
              <w:right w:val="single" w:sz="8" w:space="0" w:color="000000"/>
            </w:tcBorders>
            <w:tcMar>
              <w:left w:w="57" w:type="dxa"/>
              <w:right w:w="57" w:type="dxa"/>
            </w:tcMar>
            <w:vAlign w:val="center"/>
          </w:tcPr>
          <w:p w:rsidR="009C7D9E" w:rsidRDefault="005A4A8E">
            <w:pPr>
              <w:jc w:val="left"/>
              <w:rPr>
                <w:rFonts w:ascii="宋体" w:hAnsi="宋体" w:cs="宋体"/>
                <w:color w:val="333333"/>
                <w:szCs w:val="21"/>
              </w:rPr>
            </w:pPr>
            <w:r>
              <w:rPr>
                <w:rFonts w:ascii="宋体" w:hAnsi="宋体" w:cs="宋体" w:hint="eastAsia"/>
                <w:color w:val="333333"/>
                <w:szCs w:val="21"/>
              </w:rPr>
              <w:t>0</w:t>
            </w:r>
          </w:p>
        </w:tc>
      </w:tr>
    </w:tbl>
    <w:p w:rsidR="009C7D9E" w:rsidRDefault="005A4A8E">
      <w:pPr>
        <w:pStyle w:val="a6"/>
        <w:numPr>
          <w:ilvl w:val="0"/>
          <w:numId w:val="1"/>
        </w:numPr>
        <w:spacing w:beforeAutospacing="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57" w:type="dxa"/>
          <w:right w:w="57" w:type="dxa"/>
        </w:tblCellMar>
        <w:tblLook w:val="04A0"/>
      </w:tblPr>
      <w:tblGrid>
        <w:gridCol w:w="682"/>
        <w:gridCol w:w="833"/>
        <w:gridCol w:w="2956"/>
        <w:gridCol w:w="619"/>
        <w:gridCol w:w="619"/>
        <w:gridCol w:w="619"/>
        <w:gridCol w:w="620"/>
        <w:gridCol w:w="619"/>
        <w:gridCol w:w="619"/>
        <w:gridCol w:w="619"/>
      </w:tblGrid>
      <w:tr w:rsidR="009C7D9E">
        <w:trPr>
          <w:jc w:val="center"/>
        </w:trPr>
        <w:tc>
          <w:tcPr>
            <w:tcW w:w="4471" w:type="dxa"/>
            <w:gridSpan w:val="3"/>
            <w:vMerge w:val="restart"/>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9C7D9E" w:rsidRDefault="005A4A8E">
            <w:pPr>
              <w:spacing w:line="300" w:lineRule="exact"/>
              <w:jc w:val="left"/>
            </w:pPr>
            <w:r>
              <w:rPr>
                <w:rFonts w:ascii="楷体" w:eastAsia="楷体" w:hAnsi="楷体" w:cs="楷体" w:hint="eastAsia"/>
                <w:color w:val="333333"/>
                <w:kern w:val="0"/>
                <w:sz w:val="20"/>
              </w:rPr>
              <w:t>（本列数据的勾稽关系为：第一项加第二项之和，等于第三项加第四项之和）</w:t>
            </w:r>
          </w:p>
        </w:tc>
        <w:tc>
          <w:tcPr>
            <w:tcW w:w="4334" w:type="dxa"/>
            <w:gridSpan w:val="7"/>
            <w:tcBorders>
              <w:top w:val="single" w:sz="8" w:space="0" w:color="auto"/>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申请人情况</w:t>
            </w:r>
          </w:p>
        </w:tc>
      </w:tr>
      <w:tr w:rsidR="009C7D9E">
        <w:trPr>
          <w:jc w:val="center"/>
        </w:trPr>
        <w:tc>
          <w:tcPr>
            <w:tcW w:w="4471"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9C7D9E" w:rsidRDefault="009C7D9E">
            <w:pPr>
              <w:spacing w:line="300" w:lineRule="exact"/>
              <w:jc w:val="left"/>
              <w:rPr>
                <w:rFonts w:ascii="宋体" w:hAnsi="宋体" w:cs="宋体"/>
                <w:color w:val="333333"/>
                <w:szCs w:val="21"/>
              </w:rPr>
            </w:pPr>
          </w:p>
        </w:tc>
        <w:tc>
          <w:tcPr>
            <w:tcW w:w="619" w:type="dxa"/>
            <w:vMerge w:val="restart"/>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自然人</w:t>
            </w:r>
          </w:p>
        </w:tc>
        <w:tc>
          <w:tcPr>
            <w:tcW w:w="3096" w:type="dxa"/>
            <w:gridSpan w:val="5"/>
            <w:tcBorders>
              <w:top w:val="single" w:sz="8" w:space="0" w:color="auto"/>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法人或其他组织</w:t>
            </w:r>
          </w:p>
        </w:tc>
        <w:tc>
          <w:tcPr>
            <w:tcW w:w="619" w:type="dxa"/>
            <w:vMerge w:val="restart"/>
            <w:tcBorders>
              <w:top w:val="single" w:sz="8" w:space="0" w:color="auto"/>
              <w:left w:val="nil"/>
              <w:bottom w:val="outset" w:sz="6"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总计</w:t>
            </w:r>
          </w:p>
        </w:tc>
      </w:tr>
      <w:tr w:rsidR="009C7D9E">
        <w:trPr>
          <w:jc w:val="center"/>
        </w:trPr>
        <w:tc>
          <w:tcPr>
            <w:tcW w:w="4471" w:type="dxa"/>
            <w:gridSpan w:val="3"/>
            <w:vMerge/>
            <w:tcBorders>
              <w:top w:val="single" w:sz="8" w:space="0" w:color="auto"/>
              <w:left w:val="single" w:sz="8" w:space="0" w:color="auto"/>
              <w:bottom w:val="outset" w:sz="6" w:space="0" w:color="auto"/>
              <w:right w:val="single" w:sz="8" w:space="0" w:color="auto"/>
            </w:tcBorders>
            <w:tcMar>
              <w:left w:w="108" w:type="dxa"/>
              <w:right w:w="108" w:type="dxa"/>
            </w:tcMar>
            <w:vAlign w:val="center"/>
          </w:tcPr>
          <w:p w:rsidR="009C7D9E" w:rsidRDefault="009C7D9E">
            <w:pPr>
              <w:spacing w:line="300" w:lineRule="exact"/>
              <w:jc w:val="left"/>
              <w:rPr>
                <w:rFonts w:ascii="宋体" w:hAnsi="宋体" w:cs="宋体"/>
                <w:color w:val="333333"/>
                <w:szCs w:val="21"/>
              </w:rPr>
            </w:pPr>
          </w:p>
        </w:tc>
        <w:tc>
          <w:tcPr>
            <w:tcW w:w="619" w:type="dxa"/>
            <w:vMerge/>
            <w:tcBorders>
              <w:top w:val="nil"/>
              <w:left w:val="nil"/>
              <w:bottom w:val="single" w:sz="8"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商业</w:t>
            </w:r>
          </w:p>
          <w:p w:rsidR="009C7D9E" w:rsidRDefault="005A4A8E">
            <w:pPr>
              <w:spacing w:line="300" w:lineRule="exact"/>
              <w:jc w:val="center"/>
            </w:pPr>
            <w:r>
              <w:rPr>
                <w:rFonts w:ascii="宋体" w:hAnsi="宋体" w:cs="宋体" w:hint="eastAsia"/>
                <w:color w:val="333333"/>
                <w:kern w:val="0"/>
                <w:sz w:val="20"/>
              </w:rPr>
              <w:t>企业</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科研</w:t>
            </w:r>
          </w:p>
          <w:p w:rsidR="009C7D9E" w:rsidRDefault="005A4A8E">
            <w:pPr>
              <w:spacing w:line="300" w:lineRule="exact"/>
              <w:jc w:val="center"/>
            </w:pPr>
            <w:r>
              <w:rPr>
                <w:rFonts w:ascii="宋体" w:hAnsi="宋体" w:cs="宋体" w:hint="eastAsia"/>
                <w:color w:val="333333"/>
                <w:kern w:val="0"/>
                <w:sz w:val="20"/>
              </w:rPr>
              <w:t>机构</w:t>
            </w:r>
          </w:p>
        </w:tc>
        <w:tc>
          <w:tcPr>
            <w:tcW w:w="620" w:type="dxa"/>
            <w:tcBorders>
              <w:top w:val="single" w:sz="8" w:space="0" w:color="auto"/>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社会公益组织</w:t>
            </w:r>
          </w:p>
        </w:tc>
        <w:tc>
          <w:tcPr>
            <w:tcW w:w="619" w:type="dxa"/>
            <w:tcBorders>
              <w:top w:val="single" w:sz="8" w:space="0" w:color="auto"/>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法律服务机构</w:t>
            </w:r>
          </w:p>
        </w:tc>
        <w:tc>
          <w:tcPr>
            <w:tcW w:w="619" w:type="dxa"/>
            <w:tcBorders>
              <w:top w:val="single" w:sz="8" w:space="0" w:color="auto"/>
              <w:left w:val="nil"/>
              <w:bottom w:val="single" w:sz="8" w:space="0" w:color="auto"/>
              <w:right w:val="single" w:sz="8" w:space="0" w:color="auto"/>
            </w:tcBorders>
            <w:vAlign w:val="center"/>
          </w:tcPr>
          <w:p w:rsidR="009C7D9E" w:rsidRDefault="005A4A8E">
            <w:pPr>
              <w:spacing w:line="300" w:lineRule="exact"/>
              <w:jc w:val="center"/>
            </w:pPr>
            <w:r>
              <w:rPr>
                <w:rFonts w:ascii="宋体" w:hAnsi="宋体" w:cs="宋体" w:hint="eastAsia"/>
                <w:color w:val="333333"/>
                <w:kern w:val="0"/>
                <w:sz w:val="20"/>
              </w:rPr>
              <w:t>其他</w:t>
            </w:r>
          </w:p>
        </w:tc>
        <w:tc>
          <w:tcPr>
            <w:tcW w:w="619" w:type="dxa"/>
            <w:vMerge/>
            <w:tcBorders>
              <w:top w:val="single" w:sz="8" w:space="0" w:color="auto"/>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r>
      <w:tr w:rsidR="009C7D9E">
        <w:trPr>
          <w:jc w:val="center"/>
        </w:trPr>
        <w:tc>
          <w:tcPr>
            <w:tcW w:w="4471" w:type="dxa"/>
            <w:gridSpan w:val="3"/>
            <w:tcBorders>
              <w:top w:val="nil"/>
              <w:left w:val="single" w:sz="8" w:space="0" w:color="auto"/>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一、本年新收政府信息公开申请数量</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1</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1</w:t>
            </w:r>
          </w:p>
        </w:tc>
      </w:tr>
      <w:tr w:rsidR="009C7D9E">
        <w:trPr>
          <w:jc w:val="center"/>
        </w:trPr>
        <w:tc>
          <w:tcPr>
            <w:tcW w:w="4471" w:type="dxa"/>
            <w:gridSpan w:val="3"/>
            <w:tcBorders>
              <w:top w:val="nil"/>
              <w:left w:val="single" w:sz="8" w:space="0" w:color="auto"/>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二、上年结转政府信息公开申请数量</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val="restart"/>
            <w:tcBorders>
              <w:top w:val="nil"/>
              <w:left w:val="single" w:sz="8" w:space="0" w:color="auto"/>
              <w:bottom w:val="outset" w:sz="6"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三、本年度办理结果</w:t>
            </w:r>
          </w:p>
        </w:tc>
        <w:tc>
          <w:tcPr>
            <w:tcW w:w="3789" w:type="dxa"/>
            <w:gridSpan w:val="2"/>
            <w:tcBorders>
              <w:top w:val="nil"/>
              <w:left w:val="nil"/>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（一）予以公开</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1</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1</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3789" w:type="dxa"/>
            <w:gridSpan w:val="2"/>
            <w:tcBorders>
              <w:top w:val="nil"/>
              <w:left w:val="nil"/>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（二）部分公开</w:t>
            </w:r>
            <w:r>
              <w:rPr>
                <w:rFonts w:ascii="楷体" w:eastAsia="楷体" w:hAnsi="楷体" w:cs="楷体" w:hint="eastAsia"/>
                <w:color w:val="333333"/>
                <w:kern w:val="0"/>
                <w:sz w:val="20"/>
              </w:rPr>
              <w:t>（区分处理的，只计这一情形，不计其他情形）</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（三）不予公开</w:t>
            </w: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1.属于国家秘密</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2.其他法律行政法规禁止公开</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3.危及“三安全一稳定”</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4.保护第三方合法权益</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5.属于三类内部事务信息</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6.属于四类过程性信息</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7.属于行政执法案卷</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8.属于行政查询事项</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（四）无法提供</w:t>
            </w: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1.本机关不掌握相关政府信息</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2.没有现成信息需要另行制作</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3.补正后申请内容仍不明确</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val="restart"/>
            <w:tcBorders>
              <w:top w:val="nil"/>
              <w:left w:val="nil"/>
              <w:bottom w:val="outset" w:sz="6"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（五）不予处理</w:t>
            </w:r>
          </w:p>
        </w:tc>
        <w:tc>
          <w:tcPr>
            <w:tcW w:w="2956" w:type="dxa"/>
            <w:tcBorders>
              <w:top w:val="nil"/>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1.信访举报投诉类申请</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2.重复申请</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3.要求提供公开出版物</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single" w:sz="8" w:space="0" w:color="auto"/>
              <w:left w:val="nil"/>
              <w:bottom w:val="single" w:sz="8" w:space="0" w:color="auto"/>
              <w:right w:val="single" w:sz="8" w:space="0" w:color="auto"/>
            </w:tcBorders>
          </w:tcPr>
          <w:p w:rsidR="009C7D9E" w:rsidRDefault="005A4A8E">
            <w:pPr>
              <w:spacing w:line="300" w:lineRule="exact"/>
              <w:jc w:val="left"/>
            </w:pPr>
            <w:r>
              <w:rPr>
                <w:rFonts w:ascii="宋体" w:hAnsi="宋体" w:cs="宋体" w:hint="eastAsia"/>
                <w:color w:val="333333"/>
                <w:kern w:val="0"/>
                <w:sz w:val="20"/>
              </w:rPr>
              <w:t>4.无正当理由大量反复申请</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single" w:sz="8" w:space="0" w:color="auto"/>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trHeight w:val="779"/>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nil"/>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outset" w:sz="6" w:space="0" w:color="auto"/>
              <w:right w:val="single" w:sz="8" w:space="0" w:color="auto"/>
            </w:tcBorders>
            <w:vAlign w:val="center"/>
          </w:tcPr>
          <w:p w:rsidR="009C7D9E" w:rsidRDefault="005A4A8E">
            <w:pPr>
              <w:spacing w:line="300" w:lineRule="exact"/>
            </w:pPr>
            <w:r>
              <w:rPr>
                <w:rFonts w:ascii="宋体" w:hAnsi="宋体" w:cs="宋体" w:hint="eastAsia"/>
                <w:color w:val="333333"/>
                <w:kern w:val="0"/>
                <w:sz w:val="20"/>
              </w:rPr>
              <w:t>5.要求行政机关确认或重新出具已获取信息</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outset" w:sz="6"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val="restart"/>
            <w:tcBorders>
              <w:top w:val="outset" w:sz="6" w:space="0" w:color="auto"/>
              <w:left w:val="nil"/>
              <w:bottom w:val="outset" w:sz="6"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（六）其他处理</w:t>
            </w:r>
          </w:p>
        </w:tc>
        <w:tc>
          <w:tcPr>
            <w:tcW w:w="2956" w:type="dxa"/>
            <w:tcBorders>
              <w:top w:val="nil"/>
              <w:left w:val="nil"/>
              <w:bottom w:val="single" w:sz="8" w:space="0" w:color="auto"/>
              <w:right w:val="single" w:sz="8" w:space="0" w:color="auto"/>
            </w:tcBorders>
            <w:vAlign w:val="center"/>
          </w:tcPr>
          <w:p w:rsidR="009C7D9E" w:rsidRDefault="005A4A8E">
            <w:pPr>
              <w:spacing w:line="300" w:lineRule="exact"/>
            </w:pPr>
            <w:r>
              <w:rPr>
                <w:rFonts w:ascii="宋体" w:hAnsi="宋体" w:cs="宋体" w:hint="eastAsia"/>
                <w:color w:val="333333"/>
                <w:kern w:val="0"/>
                <w:sz w:val="20"/>
              </w:rPr>
              <w:t>1.申请人无正当理由逾期不补正、行政机关不再处理其政府信息公开申请</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9C7D9E">
            <w:pPr>
              <w:spacing w:line="300" w:lineRule="exact"/>
              <w:jc w:val="center"/>
              <w:rPr>
                <w:rFonts w:ascii="Calibri" w:hAnsi="Calibri" w:cs="Calibri"/>
                <w:color w:val="333333"/>
                <w:kern w:val="0"/>
                <w:sz w:val="20"/>
              </w:rPr>
            </w:pPr>
          </w:p>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outset" w:sz="6" w:space="0" w:color="auto"/>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vAlign w:val="center"/>
          </w:tcPr>
          <w:p w:rsidR="009C7D9E" w:rsidRDefault="005A4A8E">
            <w:pPr>
              <w:spacing w:line="300" w:lineRule="exact"/>
            </w:pPr>
            <w:r>
              <w:rPr>
                <w:rFonts w:ascii="宋体" w:hAnsi="宋体" w:cs="宋体" w:hint="eastAsia"/>
                <w:color w:val="333333"/>
                <w:kern w:val="0"/>
                <w:sz w:val="20"/>
              </w:rPr>
              <w:t>2.申请人逾期未按收费通知要求缴纳费用、行政机关不再处理其政府信息公开申请</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9C7D9E">
            <w:pPr>
              <w:spacing w:line="300" w:lineRule="exact"/>
              <w:jc w:val="center"/>
              <w:rPr>
                <w:rFonts w:ascii="Calibri" w:hAnsi="Calibri" w:cs="Calibri"/>
                <w:color w:val="333333"/>
                <w:kern w:val="0"/>
                <w:sz w:val="20"/>
              </w:rPr>
            </w:pPr>
          </w:p>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833" w:type="dxa"/>
            <w:vMerge/>
            <w:tcBorders>
              <w:top w:val="outset" w:sz="6" w:space="0" w:color="auto"/>
              <w:left w:val="nil"/>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2956" w:type="dxa"/>
            <w:tcBorders>
              <w:top w:val="nil"/>
              <w:left w:val="nil"/>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3.其他</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r>
      <w:tr w:rsidR="009C7D9E">
        <w:trPr>
          <w:jc w:val="center"/>
        </w:trPr>
        <w:tc>
          <w:tcPr>
            <w:tcW w:w="682" w:type="dxa"/>
            <w:vMerge/>
            <w:tcBorders>
              <w:top w:val="nil"/>
              <w:left w:val="single" w:sz="8" w:space="0" w:color="auto"/>
              <w:bottom w:val="outset" w:sz="6" w:space="0" w:color="auto"/>
              <w:right w:val="single" w:sz="8" w:space="0" w:color="auto"/>
            </w:tcBorders>
            <w:vAlign w:val="center"/>
          </w:tcPr>
          <w:p w:rsidR="009C7D9E" w:rsidRDefault="009C7D9E">
            <w:pPr>
              <w:spacing w:line="300" w:lineRule="exact"/>
              <w:jc w:val="left"/>
              <w:rPr>
                <w:rFonts w:ascii="宋体" w:hAnsi="宋体" w:cs="宋体"/>
                <w:color w:val="333333"/>
                <w:szCs w:val="21"/>
              </w:rPr>
            </w:pPr>
          </w:p>
        </w:tc>
        <w:tc>
          <w:tcPr>
            <w:tcW w:w="3789" w:type="dxa"/>
            <w:gridSpan w:val="2"/>
            <w:tcBorders>
              <w:top w:val="nil"/>
              <w:left w:val="nil"/>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t>（七）总计</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1</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tcPr>
          <w:p w:rsidR="009C7D9E" w:rsidRDefault="005A4A8E">
            <w:pPr>
              <w:spacing w:line="300" w:lineRule="exact"/>
              <w:jc w:val="center"/>
            </w:pPr>
            <w:r>
              <w:rPr>
                <w:rFonts w:ascii="Calibri" w:hAnsi="Calibri" w:cs="Calibri" w:hint="eastAsia"/>
                <w:color w:val="333333"/>
                <w:kern w:val="0"/>
                <w:sz w:val="20"/>
              </w:rPr>
              <w:t>1</w:t>
            </w:r>
          </w:p>
        </w:tc>
      </w:tr>
      <w:tr w:rsidR="009C7D9E">
        <w:trPr>
          <w:jc w:val="center"/>
        </w:trPr>
        <w:tc>
          <w:tcPr>
            <w:tcW w:w="4471" w:type="dxa"/>
            <w:gridSpan w:val="3"/>
            <w:tcBorders>
              <w:top w:val="nil"/>
              <w:left w:val="single" w:sz="8" w:space="0" w:color="auto"/>
              <w:bottom w:val="single" w:sz="8" w:space="0" w:color="auto"/>
              <w:right w:val="single" w:sz="8" w:space="0" w:color="auto"/>
            </w:tcBorders>
            <w:vAlign w:val="center"/>
          </w:tcPr>
          <w:p w:rsidR="009C7D9E" w:rsidRDefault="005A4A8E">
            <w:pPr>
              <w:spacing w:line="300" w:lineRule="exact"/>
              <w:jc w:val="left"/>
            </w:pPr>
            <w:r>
              <w:rPr>
                <w:rFonts w:ascii="宋体" w:hAnsi="宋体" w:cs="宋体" w:hint="eastAsia"/>
                <w:color w:val="333333"/>
                <w:kern w:val="0"/>
                <w:sz w:val="20"/>
              </w:rPr>
              <w:lastRenderedPageBreak/>
              <w:t>四、结转下年度继续办理</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20"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hint="eastAsia"/>
                <w:color w:val="333333"/>
                <w:kern w:val="0"/>
                <w:sz w:val="20"/>
              </w:rPr>
              <w:t>0</w:t>
            </w:r>
            <w:r>
              <w:rPr>
                <w:rFonts w:ascii="Calibri" w:hAnsi="Calibri" w:cs="Calibri"/>
                <w:color w:val="333333"/>
                <w:kern w:val="0"/>
                <w:sz w:val="20"/>
              </w:rPr>
              <w:t> </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vAlign w:val="center"/>
          </w:tcPr>
          <w:p w:rsidR="009C7D9E" w:rsidRDefault="005A4A8E">
            <w:pPr>
              <w:spacing w:line="300" w:lineRule="exact"/>
              <w:jc w:val="center"/>
            </w:pPr>
            <w:r>
              <w:rPr>
                <w:rFonts w:ascii="Calibri" w:hAnsi="Calibri" w:cs="Calibri"/>
                <w:color w:val="333333"/>
                <w:kern w:val="0"/>
                <w:sz w:val="20"/>
              </w:rPr>
              <w:t> </w:t>
            </w:r>
            <w:r>
              <w:rPr>
                <w:rFonts w:ascii="Calibri" w:hAnsi="Calibri" w:cs="Calibri" w:hint="eastAsia"/>
                <w:color w:val="333333"/>
                <w:kern w:val="0"/>
                <w:sz w:val="20"/>
              </w:rPr>
              <w:t>0</w:t>
            </w:r>
          </w:p>
        </w:tc>
        <w:tc>
          <w:tcPr>
            <w:tcW w:w="619" w:type="dxa"/>
            <w:tcBorders>
              <w:top w:val="nil"/>
              <w:left w:val="nil"/>
              <w:bottom w:val="single" w:sz="8" w:space="0" w:color="auto"/>
              <w:right w:val="single" w:sz="8" w:space="0" w:color="auto"/>
            </w:tcBorders>
          </w:tcPr>
          <w:p w:rsidR="009C7D9E" w:rsidRDefault="005A4A8E">
            <w:pPr>
              <w:spacing w:line="300" w:lineRule="exact"/>
              <w:jc w:val="left"/>
              <w:rPr>
                <w:rFonts w:ascii="宋体" w:hAnsi="宋体" w:cs="宋体"/>
                <w:color w:val="333333"/>
                <w:szCs w:val="21"/>
              </w:rPr>
            </w:pPr>
            <w:r>
              <w:rPr>
                <w:rFonts w:ascii="宋体" w:hAnsi="宋体" w:cs="宋体" w:hint="eastAsia"/>
                <w:color w:val="333333"/>
                <w:szCs w:val="21"/>
              </w:rPr>
              <w:t xml:space="preserve">  0</w:t>
            </w:r>
          </w:p>
        </w:tc>
      </w:tr>
    </w:tbl>
    <w:p w:rsidR="009C7D9E" w:rsidRDefault="005A4A8E">
      <w:pPr>
        <w:pStyle w:val="a6"/>
        <w:spacing w:beforeAutospacing="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四、政府信息公开行政复议、行政诉讼情况</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590"/>
        <w:gridCol w:w="590"/>
        <w:gridCol w:w="590"/>
        <w:gridCol w:w="590"/>
        <w:gridCol w:w="590"/>
        <w:gridCol w:w="590"/>
        <w:gridCol w:w="591"/>
        <w:gridCol w:w="590"/>
        <w:gridCol w:w="591"/>
        <w:gridCol w:w="591"/>
        <w:gridCol w:w="591"/>
        <w:gridCol w:w="591"/>
        <w:gridCol w:w="591"/>
        <w:gridCol w:w="590"/>
      </w:tblGrid>
      <w:tr w:rsidR="009C7D9E">
        <w:trPr>
          <w:jc w:val="center"/>
        </w:trPr>
        <w:tc>
          <w:tcPr>
            <w:tcW w:w="2950" w:type="dxa"/>
            <w:gridSpan w:val="5"/>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行政复议</w:t>
            </w:r>
          </w:p>
        </w:tc>
        <w:tc>
          <w:tcPr>
            <w:tcW w:w="5906" w:type="dxa"/>
            <w:gridSpan w:val="10"/>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行政诉讼</w:t>
            </w:r>
          </w:p>
        </w:tc>
      </w:tr>
      <w:tr w:rsidR="009C7D9E">
        <w:trPr>
          <w:jc w:val="center"/>
        </w:trPr>
        <w:tc>
          <w:tcPr>
            <w:tcW w:w="590" w:type="dxa"/>
            <w:vMerge w:val="restart"/>
            <w:tcBorders>
              <w:top w:val="nil"/>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结果维持</w:t>
            </w:r>
          </w:p>
        </w:tc>
        <w:tc>
          <w:tcPr>
            <w:tcW w:w="590" w:type="dxa"/>
            <w:vMerge w:val="restart"/>
            <w:tcBorders>
              <w:top w:val="nil"/>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w:t>
            </w:r>
            <w:r>
              <w:rPr>
                <w:rFonts w:ascii="宋体" w:hAnsi="宋体" w:cs="宋体" w:hint="eastAsia"/>
                <w:color w:val="333333"/>
                <w:kern w:val="0"/>
                <w:sz w:val="20"/>
              </w:rPr>
              <w:br/>
              <w:t>纠正</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其他</w:t>
            </w:r>
            <w:r>
              <w:rPr>
                <w:rFonts w:ascii="宋体" w:hAnsi="宋体" w:cs="宋体" w:hint="eastAsia"/>
                <w:color w:val="333333"/>
                <w:kern w:val="0"/>
                <w:sz w:val="20"/>
              </w:rPr>
              <w:br/>
              <w:t>结果</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尚未</w:t>
            </w:r>
            <w:r>
              <w:rPr>
                <w:rFonts w:ascii="宋体" w:hAnsi="宋体" w:cs="宋体" w:hint="eastAsia"/>
                <w:color w:val="333333"/>
                <w:kern w:val="0"/>
                <w:sz w:val="20"/>
              </w:rPr>
              <w:br/>
              <w:t>审结</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总计</w:t>
            </w:r>
          </w:p>
        </w:tc>
        <w:tc>
          <w:tcPr>
            <w:tcW w:w="2952" w:type="dxa"/>
            <w:gridSpan w:val="5"/>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未经复议直接起诉</w:t>
            </w:r>
          </w:p>
        </w:tc>
        <w:tc>
          <w:tcPr>
            <w:tcW w:w="2954" w:type="dxa"/>
            <w:gridSpan w:val="5"/>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复议后起诉</w:t>
            </w:r>
          </w:p>
        </w:tc>
      </w:tr>
      <w:tr w:rsidR="009C7D9E">
        <w:trPr>
          <w:jc w:val="center"/>
        </w:trPr>
        <w:tc>
          <w:tcPr>
            <w:tcW w:w="590" w:type="dxa"/>
            <w:vMerge/>
            <w:tcBorders>
              <w:top w:val="nil"/>
              <w:left w:val="single" w:sz="4" w:space="0" w:color="auto"/>
              <w:bottom w:val="single" w:sz="4" w:space="0" w:color="auto"/>
              <w:right w:val="single" w:sz="4" w:space="0" w:color="auto"/>
            </w:tcBorders>
            <w:vAlign w:val="center"/>
          </w:tcPr>
          <w:p w:rsidR="009C7D9E" w:rsidRDefault="009C7D9E">
            <w:pPr>
              <w:jc w:val="left"/>
              <w:rPr>
                <w:rFonts w:ascii="宋体" w:hAnsi="宋体" w:cs="宋体"/>
                <w:color w:val="333333"/>
                <w:szCs w:val="21"/>
              </w:rPr>
            </w:pPr>
          </w:p>
        </w:tc>
        <w:tc>
          <w:tcPr>
            <w:tcW w:w="590" w:type="dxa"/>
            <w:vMerge/>
            <w:tcBorders>
              <w:top w:val="nil"/>
              <w:left w:val="single" w:sz="4" w:space="0" w:color="auto"/>
              <w:bottom w:val="single" w:sz="4" w:space="0" w:color="auto"/>
              <w:right w:val="single" w:sz="4" w:space="0" w:color="auto"/>
            </w:tcBorders>
            <w:vAlign w:val="center"/>
          </w:tcPr>
          <w:p w:rsidR="009C7D9E" w:rsidRDefault="009C7D9E">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9C7D9E" w:rsidRDefault="009C7D9E">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9C7D9E" w:rsidRDefault="009C7D9E">
            <w:pPr>
              <w:jc w:val="left"/>
              <w:rPr>
                <w:rFonts w:ascii="宋体" w:hAnsi="宋体" w:cs="宋体"/>
                <w:color w:val="333333"/>
                <w:szCs w:val="21"/>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9C7D9E" w:rsidRDefault="009C7D9E">
            <w:pPr>
              <w:jc w:val="left"/>
              <w:rPr>
                <w:rFonts w:ascii="宋体" w:hAnsi="宋体" w:cs="宋体"/>
                <w:color w:val="333333"/>
                <w:szCs w:val="21"/>
              </w:rPr>
            </w:pP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w:t>
            </w:r>
            <w:r>
              <w:rPr>
                <w:rFonts w:ascii="宋体" w:hAnsi="宋体" w:cs="宋体" w:hint="eastAsia"/>
                <w:color w:val="333333"/>
                <w:kern w:val="0"/>
                <w:sz w:val="20"/>
              </w:rPr>
              <w:br/>
              <w:t>维持</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w:t>
            </w:r>
            <w:r>
              <w:rPr>
                <w:rFonts w:ascii="宋体" w:hAnsi="宋体" w:cs="宋体" w:hint="eastAsia"/>
                <w:color w:val="333333"/>
                <w:kern w:val="0"/>
                <w:sz w:val="20"/>
              </w:rPr>
              <w:br/>
              <w:t>纠正</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其他</w:t>
            </w:r>
            <w:r>
              <w:rPr>
                <w:rFonts w:ascii="宋体" w:hAnsi="宋体" w:cs="宋体" w:hint="eastAsia"/>
                <w:color w:val="333333"/>
                <w:kern w:val="0"/>
                <w:sz w:val="20"/>
              </w:rPr>
              <w:br/>
              <w:t>结果</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尚未</w:t>
            </w:r>
            <w:r>
              <w:rPr>
                <w:rFonts w:ascii="宋体" w:hAnsi="宋体" w:cs="宋体" w:hint="eastAsia"/>
                <w:color w:val="333333"/>
                <w:kern w:val="0"/>
                <w:sz w:val="20"/>
              </w:rPr>
              <w:br/>
              <w:t>审结</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000000"/>
                <w:kern w:val="0"/>
                <w:sz w:val="20"/>
              </w:rPr>
              <w:t>总计</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w:t>
            </w:r>
            <w:r>
              <w:rPr>
                <w:rFonts w:ascii="宋体" w:hAnsi="宋体" w:cs="宋体" w:hint="eastAsia"/>
                <w:color w:val="333333"/>
                <w:kern w:val="0"/>
                <w:sz w:val="20"/>
              </w:rPr>
              <w:br/>
              <w:t>维持</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结果</w:t>
            </w:r>
            <w:r>
              <w:rPr>
                <w:rFonts w:ascii="宋体" w:hAnsi="宋体" w:cs="宋体" w:hint="eastAsia"/>
                <w:color w:val="333333"/>
                <w:kern w:val="0"/>
                <w:sz w:val="20"/>
              </w:rPr>
              <w:br/>
              <w:t>纠正</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000000"/>
                <w:kern w:val="0"/>
                <w:sz w:val="20"/>
              </w:rPr>
              <w:t>其他</w:t>
            </w:r>
            <w:r>
              <w:rPr>
                <w:rFonts w:ascii="宋体" w:hAnsi="宋体" w:cs="宋体" w:hint="eastAsia"/>
                <w:color w:val="000000"/>
                <w:kern w:val="0"/>
                <w:sz w:val="20"/>
              </w:rPr>
              <w:br/>
              <w:t>结果</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333333"/>
                <w:kern w:val="0"/>
                <w:sz w:val="20"/>
              </w:rPr>
              <w:t>尚未</w:t>
            </w:r>
            <w:r>
              <w:rPr>
                <w:rFonts w:ascii="宋体" w:hAnsi="宋体" w:cs="宋体" w:hint="eastAsia"/>
                <w:color w:val="333333"/>
                <w:kern w:val="0"/>
                <w:sz w:val="20"/>
              </w:rPr>
              <w:br/>
              <w:t>审结</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宋体" w:hAnsi="宋体" w:cs="宋体" w:hint="eastAsia"/>
                <w:color w:val="000000"/>
                <w:kern w:val="0"/>
                <w:sz w:val="20"/>
              </w:rPr>
              <w:t>总计</w:t>
            </w:r>
          </w:p>
        </w:tc>
      </w:tr>
      <w:tr w:rsidR="009C7D9E">
        <w:trPr>
          <w:trHeight w:val="672"/>
          <w:jc w:val="center"/>
        </w:trPr>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color w:val="333333"/>
                <w:sz w:val="20"/>
              </w:rPr>
              <w:t> </w:t>
            </w:r>
            <w:r>
              <w:rPr>
                <w:rFonts w:ascii="黑体" w:eastAsia="黑体" w:hAnsi="宋体" w:cs="黑体" w:hint="eastAsia"/>
                <w:color w:val="333333"/>
                <w:sz w:val="20"/>
              </w:rPr>
              <w:t>0</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 </w:t>
            </w:r>
            <w:r>
              <w:rPr>
                <w:rFonts w:ascii="黑体" w:eastAsia="黑体" w:hAnsi="宋体" w:cs="黑体" w:hint="eastAsia"/>
                <w:color w:val="333333"/>
                <w:sz w:val="20"/>
              </w:rPr>
              <w:t>0</w:t>
            </w:r>
          </w:p>
        </w:tc>
        <w:tc>
          <w:tcPr>
            <w:tcW w:w="591" w:type="dxa"/>
            <w:tcBorders>
              <w:top w:val="single" w:sz="4" w:space="0" w:color="auto"/>
              <w:left w:val="single" w:sz="4" w:space="0" w:color="auto"/>
              <w:bottom w:val="single" w:sz="4" w:space="0" w:color="auto"/>
              <w:right w:val="single" w:sz="4" w:space="0" w:color="auto"/>
            </w:tcBorders>
            <w:vAlign w:val="center"/>
          </w:tcPr>
          <w:p w:rsidR="009C7D9E" w:rsidRDefault="005A4A8E">
            <w:pPr>
              <w:spacing w:line="30" w:lineRule="atLeast"/>
              <w:jc w:val="center"/>
            </w:pPr>
            <w:r>
              <w:rPr>
                <w:rFonts w:ascii="黑体" w:eastAsia="黑体" w:hAnsi="宋体" w:cs="黑体" w:hint="eastAsia"/>
                <w:color w:val="333333"/>
                <w:sz w:val="20"/>
              </w:rPr>
              <w:t>0</w:t>
            </w:r>
            <w:r>
              <w:rPr>
                <w:rFonts w:ascii="黑体" w:eastAsia="黑体" w:hAnsi="宋体" w:cs="黑体" w:hint="eastAsia"/>
                <w:color w:val="333333"/>
                <w:sz w:val="20"/>
              </w:rPr>
              <w:t> </w:t>
            </w:r>
          </w:p>
        </w:tc>
        <w:tc>
          <w:tcPr>
            <w:tcW w:w="590" w:type="dxa"/>
            <w:tcBorders>
              <w:top w:val="single" w:sz="4" w:space="0" w:color="auto"/>
              <w:left w:val="single" w:sz="4" w:space="0" w:color="auto"/>
              <w:bottom w:val="single" w:sz="4" w:space="0" w:color="auto"/>
              <w:right w:val="single" w:sz="4" w:space="0" w:color="auto"/>
            </w:tcBorders>
            <w:vAlign w:val="center"/>
          </w:tcPr>
          <w:p w:rsidR="009C7D9E" w:rsidRDefault="005A4A8E">
            <w:pPr>
              <w:jc w:val="left"/>
              <w:rPr>
                <w:rFonts w:ascii="宋体" w:hAnsi="宋体" w:cs="宋体"/>
                <w:color w:val="333333"/>
                <w:szCs w:val="21"/>
              </w:rPr>
            </w:pPr>
            <w:r>
              <w:rPr>
                <w:rFonts w:ascii="宋体" w:hAnsi="宋体" w:cs="宋体" w:hint="eastAsia"/>
                <w:color w:val="333333"/>
                <w:szCs w:val="21"/>
              </w:rPr>
              <w:t>0</w:t>
            </w:r>
          </w:p>
        </w:tc>
      </w:tr>
    </w:tbl>
    <w:p w:rsidR="009C7D9E" w:rsidRDefault="005A4A8E">
      <w:pPr>
        <w:pStyle w:val="a6"/>
        <w:spacing w:beforeAutospacing="0" w:afterAutospacing="0" w:line="600" w:lineRule="exact"/>
        <w:ind w:firstLine="420"/>
        <w:jc w:val="both"/>
        <w:rPr>
          <w:rFonts w:ascii="宋体" w:hAnsi="宋体"/>
          <w:color w:val="000000"/>
        </w:rPr>
      </w:pPr>
      <w:r>
        <w:rPr>
          <w:rFonts w:ascii="黑体" w:eastAsia="黑体" w:hAnsi="黑体" w:cs="黑体" w:hint="eastAsia"/>
          <w:bCs/>
          <w:color w:val="000000"/>
          <w:sz w:val="32"/>
          <w:szCs w:val="32"/>
        </w:rPr>
        <w:t>五、存在的主要问题及改进情况</w:t>
      </w:r>
    </w:p>
    <w:p w:rsidR="009C7D9E" w:rsidRDefault="005A4A8E">
      <w:pPr>
        <w:spacing w:line="500" w:lineRule="exact"/>
        <w:ind w:firstLine="4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气象工作关系人民群众生产生活的方方面面，我局按照区政府的统一部署，认真开展政府信息公开工作，取得了阶段性成效，但与《条例》及公众的要求相比，仍存在一定的差距。信息公开培训有待加强，信息公开内容还需充实规范，公开意识及内容需进一步深化等。在今后的工作中，我局将切实按照上级要求，继续加强政府信息公开学习，深化主动公开范围，加大信息公开工作力度，规范信息公开处理流程，不断提高政府信息公开质量。</w:t>
      </w:r>
    </w:p>
    <w:p w:rsidR="009C7D9E" w:rsidRDefault="005A4A8E">
      <w:pPr>
        <w:pStyle w:val="a6"/>
        <w:spacing w:beforeAutospacing="0" w:afterAutospacing="0" w:line="600" w:lineRule="exact"/>
        <w:ind w:firstLine="420"/>
        <w:jc w:val="both"/>
        <w:rPr>
          <w:rFonts w:ascii="黑体" w:eastAsia="黑体" w:hAnsi="黑体" w:cs="黑体"/>
          <w:bCs/>
          <w:color w:val="000000"/>
          <w:sz w:val="32"/>
          <w:szCs w:val="32"/>
        </w:rPr>
      </w:pPr>
      <w:r>
        <w:rPr>
          <w:rFonts w:ascii="黑体" w:eastAsia="黑体" w:hAnsi="黑体" w:cs="黑体" w:hint="eastAsia"/>
          <w:bCs/>
          <w:color w:val="000000"/>
          <w:sz w:val="32"/>
          <w:szCs w:val="32"/>
        </w:rPr>
        <w:t>六、其他需要报告的事项</w:t>
      </w:r>
    </w:p>
    <w:p w:rsidR="009C7D9E" w:rsidRDefault="005A4A8E">
      <w:pPr>
        <w:spacing w:line="500" w:lineRule="exact"/>
        <w:ind w:firstLine="4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根据国务院办公厅印发的《政府信息公开信息处理费管理办法》和浙江省政府办公厅、宁波</w:t>
      </w:r>
      <w:r w:rsidR="00457E08">
        <w:rPr>
          <w:rFonts w:ascii="仿宋_GB2312" w:eastAsia="仿宋_GB2312" w:hAnsi="宋体" w:cs="宋体" w:hint="eastAsia"/>
          <w:color w:val="333333"/>
          <w:kern w:val="0"/>
          <w:sz w:val="32"/>
          <w:szCs w:val="32"/>
        </w:rPr>
        <w:t>市政府办公厅关于政府信息公开信息处理费收取工作的有关规定，本单位</w:t>
      </w:r>
      <w:r>
        <w:rPr>
          <w:rFonts w:ascii="仿宋_GB2312" w:eastAsia="仿宋_GB2312" w:hAnsi="宋体" w:cs="宋体" w:hint="eastAsia"/>
          <w:color w:val="333333"/>
          <w:kern w:val="0"/>
          <w:sz w:val="32"/>
          <w:szCs w:val="32"/>
        </w:rPr>
        <w:t>全年没有收到超出一定数量或者频次范围的政府信息公开申请，也未对申请人收取信息处理费。特此说明。</w:t>
      </w:r>
    </w:p>
    <w:p w:rsidR="009C7D9E" w:rsidRDefault="009C7D9E">
      <w:pPr>
        <w:spacing w:line="500" w:lineRule="exact"/>
        <w:ind w:firstLine="480"/>
        <w:jc w:val="left"/>
        <w:rPr>
          <w:rFonts w:ascii="仿宋_GB2312" w:eastAsia="仿宋_GB2312" w:hAnsi="宋体" w:cs="宋体"/>
          <w:color w:val="333333"/>
          <w:kern w:val="0"/>
          <w:sz w:val="32"/>
          <w:szCs w:val="32"/>
        </w:rPr>
      </w:pPr>
    </w:p>
    <w:p w:rsidR="009C7D9E" w:rsidRDefault="005A4A8E">
      <w:pPr>
        <w:spacing w:line="500" w:lineRule="exact"/>
        <w:ind w:firstLine="48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宁波市北仑区气象局</w:t>
      </w:r>
    </w:p>
    <w:p w:rsidR="009C7D9E" w:rsidRDefault="005A4A8E">
      <w:pPr>
        <w:spacing w:line="500" w:lineRule="exact"/>
        <w:ind w:firstLine="480"/>
        <w:jc w:val="righ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2022年1月10日</w:t>
      </w:r>
    </w:p>
    <w:p w:rsidR="009C7D9E" w:rsidRDefault="009C7D9E"/>
    <w:sectPr w:rsidR="009C7D9E" w:rsidSect="00565ED6">
      <w:footerReference w:type="default" r:id="rId8"/>
      <w:pgSz w:w="11906" w:h="16838"/>
      <w:pgMar w:top="1871" w:right="1531" w:bottom="1531" w:left="1531" w:header="851" w:footer="1417"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B1" w:rsidRDefault="008661B1" w:rsidP="009C7D9E">
      <w:r>
        <w:separator/>
      </w:r>
    </w:p>
  </w:endnote>
  <w:endnote w:type="continuationSeparator" w:id="0">
    <w:p w:rsidR="008661B1" w:rsidRDefault="008661B1" w:rsidP="009C7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9E" w:rsidRDefault="00DA3116">
    <w:pPr>
      <w:pStyle w:val="a4"/>
    </w:pPr>
    <w:r>
      <w:pict>
        <v:shapetype id="_x0000_t202" coordsize="21600,21600" o:spt="202" path="m,l,21600r21600,l21600,xe">
          <v:stroke joinstyle="miter"/>
          <v:path gradientshapeok="t" o:connecttype="rect"/>
        </v:shapetype>
        <v:shape id="_x0000_s4097" type="#_x0000_t202" style="position:absolute;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9C7D9E" w:rsidRDefault="00DA3116">
                <w:pPr>
                  <w:pStyle w:val="a4"/>
                  <w:rPr>
                    <w:rFonts w:ascii="宋体" w:hAnsi="宋体" w:cs="宋体"/>
                    <w:sz w:val="28"/>
                    <w:szCs w:val="28"/>
                  </w:rPr>
                </w:pPr>
                <w:r>
                  <w:rPr>
                    <w:rFonts w:ascii="宋体" w:hAnsi="宋体" w:cs="宋体" w:hint="eastAsia"/>
                    <w:sz w:val="28"/>
                    <w:szCs w:val="28"/>
                  </w:rPr>
                  <w:fldChar w:fldCharType="begin"/>
                </w:r>
                <w:r w:rsidR="005A4A8E">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B4465">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B1" w:rsidRDefault="008661B1" w:rsidP="009C7D9E">
      <w:r>
        <w:separator/>
      </w:r>
    </w:p>
  </w:footnote>
  <w:footnote w:type="continuationSeparator" w:id="0">
    <w:p w:rsidR="008661B1" w:rsidRDefault="008661B1" w:rsidP="009C7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C676"/>
    <w:multiLevelType w:val="singleLevel"/>
    <w:tmpl w:val="1C23C67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C72B92"/>
    <w:rsid w:val="00095B44"/>
    <w:rsid w:val="001B3B55"/>
    <w:rsid w:val="003079B8"/>
    <w:rsid w:val="003962CC"/>
    <w:rsid w:val="003B3A14"/>
    <w:rsid w:val="00457E08"/>
    <w:rsid w:val="00565ED6"/>
    <w:rsid w:val="005A007A"/>
    <w:rsid w:val="005A4A8E"/>
    <w:rsid w:val="008125D3"/>
    <w:rsid w:val="008661B1"/>
    <w:rsid w:val="009B4465"/>
    <w:rsid w:val="009C7D9E"/>
    <w:rsid w:val="00AE1F75"/>
    <w:rsid w:val="00C72AE6"/>
    <w:rsid w:val="00DA3116"/>
    <w:rsid w:val="00DD68E0"/>
    <w:rsid w:val="00E05812"/>
    <w:rsid w:val="00F37C8B"/>
    <w:rsid w:val="0A911C47"/>
    <w:rsid w:val="2AC72B92"/>
    <w:rsid w:val="2C23175A"/>
    <w:rsid w:val="44EC5EDC"/>
    <w:rsid w:val="4FD87091"/>
    <w:rsid w:val="70B23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nhideWhenUsed/>
    <w:qFormat/>
    <w:rsid w:val="009C7D9E"/>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9C7D9E"/>
    <w:pPr>
      <w:spacing w:after="0" w:line="300" w:lineRule="auto"/>
      <w:ind w:leftChars="0" w:left="0"/>
    </w:pPr>
    <w:rPr>
      <w:rFonts w:ascii="Calibri" w:hAnsi="Calibri"/>
      <w:i/>
    </w:rPr>
  </w:style>
  <w:style w:type="paragraph" w:styleId="a3">
    <w:name w:val="Body Text Indent"/>
    <w:basedOn w:val="a"/>
    <w:uiPriority w:val="99"/>
    <w:unhideWhenUsed/>
    <w:qFormat/>
    <w:rsid w:val="009C7D9E"/>
    <w:pPr>
      <w:spacing w:after="120"/>
      <w:ind w:leftChars="200" w:left="420"/>
    </w:pPr>
  </w:style>
  <w:style w:type="paragraph" w:styleId="a4">
    <w:name w:val="footer"/>
    <w:basedOn w:val="a"/>
    <w:qFormat/>
    <w:rsid w:val="009C7D9E"/>
    <w:pPr>
      <w:tabs>
        <w:tab w:val="center" w:pos="4153"/>
        <w:tab w:val="right" w:pos="8306"/>
      </w:tabs>
      <w:snapToGrid w:val="0"/>
      <w:jc w:val="left"/>
    </w:pPr>
    <w:rPr>
      <w:sz w:val="18"/>
    </w:rPr>
  </w:style>
  <w:style w:type="paragraph" w:styleId="a5">
    <w:name w:val="header"/>
    <w:basedOn w:val="a"/>
    <w:qFormat/>
    <w:rsid w:val="009C7D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9C7D9E"/>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422</Words>
  <Characters>2408</Characters>
  <Application>Microsoft Office Word</Application>
  <DocSecurity>0</DocSecurity>
  <Lines>20</Lines>
  <Paragraphs>5</Paragraphs>
  <ScaleCrop>false</ScaleCrop>
  <Company>china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2017030222</dc:creator>
  <cp:lastModifiedBy>Administrator</cp:lastModifiedBy>
  <cp:revision>9</cp:revision>
  <dcterms:created xsi:type="dcterms:W3CDTF">2021-01-08T07:32:00Z</dcterms:created>
  <dcterms:modified xsi:type="dcterms:W3CDTF">2022-01-26T05:57:00Z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270F16D203F448F4891B7D930B113A95</vt:lpwstr>
  </property>
</Properties>
</file>