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E70" w:rsidRPr="00097E70" w:rsidRDefault="00F86405" w:rsidP="00EA115E">
      <w:pPr>
        <w:spacing w:line="360" w:lineRule="auto"/>
        <w:jc w:val="center"/>
        <w:rPr>
          <w:b/>
          <w:sz w:val="44"/>
          <w:szCs w:val="44"/>
        </w:rPr>
      </w:pPr>
      <w:r>
        <w:rPr>
          <w:rFonts w:hint="eastAsia"/>
          <w:b/>
          <w:sz w:val="44"/>
          <w:szCs w:val="44"/>
        </w:rPr>
        <w:t>北仑公路段加油站项目</w:t>
      </w:r>
    </w:p>
    <w:p w:rsidR="00EA115E" w:rsidRPr="00097E70" w:rsidRDefault="00EA115E" w:rsidP="00EA115E">
      <w:pPr>
        <w:spacing w:line="360" w:lineRule="auto"/>
        <w:jc w:val="center"/>
        <w:rPr>
          <w:b/>
          <w:sz w:val="44"/>
          <w:szCs w:val="44"/>
        </w:rPr>
      </w:pPr>
      <w:r w:rsidRPr="00097E70">
        <w:rPr>
          <w:b/>
          <w:sz w:val="44"/>
          <w:szCs w:val="44"/>
        </w:rPr>
        <w:t>环境影响评价审批前公示</w:t>
      </w:r>
    </w:p>
    <w:p w:rsidR="00EA115E" w:rsidRPr="005E47D1" w:rsidRDefault="00EA115E" w:rsidP="005E47D1">
      <w:pPr>
        <w:spacing w:line="360" w:lineRule="auto"/>
        <w:ind w:firstLineChars="200" w:firstLine="480"/>
        <w:rPr>
          <w:sz w:val="24"/>
        </w:rPr>
      </w:pPr>
      <w:r w:rsidRPr="005E47D1">
        <w:rPr>
          <w:sz w:val="24"/>
        </w:rPr>
        <w:t>一、建设项目概况及污染源分析</w:t>
      </w:r>
    </w:p>
    <w:p w:rsidR="00E835E9" w:rsidRDefault="00E835E9" w:rsidP="00E835E9">
      <w:pPr>
        <w:spacing w:line="360" w:lineRule="auto"/>
        <w:ind w:firstLine="480"/>
        <w:rPr>
          <w:sz w:val="24"/>
        </w:rPr>
      </w:pPr>
      <w:r>
        <w:rPr>
          <w:sz w:val="24"/>
        </w:rPr>
        <w:t>1</w:t>
      </w:r>
      <w:r>
        <w:rPr>
          <w:sz w:val="24"/>
        </w:rPr>
        <w:t>、项目名称：</w:t>
      </w:r>
      <w:r w:rsidR="00F86405">
        <w:rPr>
          <w:rFonts w:hint="eastAsia"/>
          <w:sz w:val="24"/>
        </w:rPr>
        <w:t>北仑公路段加油站项目</w:t>
      </w:r>
    </w:p>
    <w:p w:rsidR="00E835E9" w:rsidRDefault="00E835E9" w:rsidP="00E835E9">
      <w:pPr>
        <w:spacing w:line="360" w:lineRule="auto"/>
        <w:ind w:firstLine="480"/>
        <w:rPr>
          <w:sz w:val="24"/>
        </w:rPr>
      </w:pPr>
      <w:r>
        <w:rPr>
          <w:sz w:val="24"/>
        </w:rPr>
        <w:t>2</w:t>
      </w:r>
      <w:r>
        <w:rPr>
          <w:sz w:val="24"/>
        </w:rPr>
        <w:t>、项目性质：新建</w:t>
      </w:r>
    </w:p>
    <w:p w:rsidR="00E835E9" w:rsidRDefault="00E835E9" w:rsidP="00E835E9">
      <w:pPr>
        <w:spacing w:line="360" w:lineRule="auto"/>
        <w:ind w:firstLine="480"/>
        <w:rPr>
          <w:sz w:val="24"/>
        </w:rPr>
      </w:pPr>
      <w:r>
        <w:rPr>
          <w:sz w:val="24"/>
        </w:rPr>
        <w:t>3</w:t>
      </w:r>
      <w:r>
        <w:rPr>
          <w:sz w:val="24"/>
        </w:rPr>
        <w:t>、建设单位：</w:t>
      </w:r>
      <w:r w:rsidR="00F86405">
        <w:rPr>
          <w:rFonts w:hint="eastAsia"/>
          <w:sz w:val="24"/>
        </w:rPr>
        <w:t>宁波市北仑区公路管理段大矸加油站</w:t>
      </w:r>
    </w:p>
    <w:p w:rsidR="00E835E9" w:rsidRDefault="00E835E9" w:rsidP="00E835E9">
      <w:pPr>
        <w:spacing w:line="360" w:lineRule="auto"/>
        <w:ind w:firstLine="480"/>
        <w:rPr>
          <w:sz w:val="24"/>
        </w:rPr>
      </w:pPr>
      <w:r>
        <w:rPr>
          <w:rFonts w:hint="eastAsia"/>
          <w:sz w:val="24"/>
        </w:rPr>
        <w:t>4</w:t>
      </w:r>
      <w:r>
        <w:rPr>
          <w:rFonts w:hint="eastAsia"/>
          <w:sz w:val="24"/>
        </w:rPr>
        <w:t>、</w:t>
      </w:r>
      <w:r w:rsidRPr="005F7EB0">
        <w:rPr>
          <w:sz w:val="24"/>
        </w:rPr>
        <w:t>建设地点：</w:t>
      </w:r>
      <w:r w:rsidR="00F86405">
        <w:rPr>
          <w:rFonts w:hint="eastAsia"/>
          <w:sz w:val="24"/>
        </w:rPr>
        <w:t>浙江省宁波市北仑区大碶街道石湫村竹山头</w:t>
      </w:r>
      <w:r w:rsidR="00F86405">
        <w:rPr>
          <w:rFonts w:hint="eastAsia"/>
          <w:sz w:val="24"/>
        </w:rPr>
        <w:t>277</w:t>
      </w:r>
      <w:r w:rsidR="00F86405">
        <w:rPr>
          <w:rFonts w:hint="eastAsia"/>
          <w:sz w:val="24"/>
        </w:rPr>
        <w:t>号</w:t>
      </w:r>
    </w:p>
    <w:p w:rsidR="00E835E9" w:rsidRDefault="00E835E9" w:rsidP="00E835E9">
      <w:pPr>
        <w:spacing w:line="360" w:lineRule="auto"/>
        <w:ind w:firstLine="480"/>
        <w:rPr>
          <w:sz w:val="24"/>
        </w:rPr>
      </w:pPr>
      <w:r>
        <w:rPr>
          <w:sz w:val="24"/>
        </w:rPr>
        <w:t>5</w:t>
      </w:r>
      <w:r>
        <w:rPr>
          <w:sz w:val="24"/>
        </w:rPr>
        <w:t>、建设内容：</w:t>
      </w:r>
    </w:p>
    <w:p w:rsidR="00F86405" w:rsidRDefault="00F86405" w:rsidP="005E47D1">
      <w:pPr>
        <w:pStyle w:val="a7"/>
        <w:spacing w:line="360" w:lineRule="auto"/>
        <w:ind w:firstLineChars="200"/>
        <w:jc w:val="both"/>
        <w:rPr>
          <w:rFonts w:ascii="Times New Roman" w:eastAsia="宋体" w:hAnsi="Times New Roman" w:cs="Times New Roman"/>
          <w:szCs w:val="22"/>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bookmarkStart w:id="20" w:name="OLE_LINK21"/>
      <w:bookmarkStart w:id="21" w:name="OLE_LINK22"/>
      <w:r w:rsidRPr="00F86405">
        <w:rPr>
          <w:rFonts w:ascii="Times New Roman" w:eastAsia="宋体" w:hAnsi="Times New Roman" w:cs="Times New Roman" w:hint="eastAsia"/>
          <w:szCs w:val="22"/>
        </w:rPr>
        <w:t>宁波市北仑区公路管理段大矸加油站位于浙江省宁波市北仑区大碶街道石湫村竹山头</w:t>
      </w:r>
      <w:r w:rsidRPr="00F86405">
        <w:rPr>
          <w:rFonts w:ascii="Times New Roman" w:eastAsia="宋体" w:hAnsi="Times New Roman" w:cs="Times New Roman" w:hint="eastAsia"/>
          <w:szCs w:val="22"/>
        </w:rPr>
        <w:t>277</w:t>
      </w:r>
      <w:r w:rsidRPr="00F86405">
        <w:rPr>
          <w:rFonts w:ascii="Times New Roman" w:eastAsia="宋体" w:hAnsi="Times New Roman" w:cs="Times New Roman" w:hint="eastAsia"/>
          <w:szCs w:val="22"/>
        </w:rPr>
        <w:t>号，主要从事汽油、柴油的零售。</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F86405">
        <w:rPr>
          <w:rFonts w:ascii="Times New Roman" w:eastAsia="宋体" w:hAnsi="Times New Roman" w:cs="Times New Roman" w:hint="eastAsia"/>
          <w:szCs w:val="22"/>
        </w:rPr>
        <w:t>本项目已在浙江政务网上备案，备案机关为北仑区大碶街道，项目代码为</w:t>
      </w:r>
      <w:r w:rsidRPr="00F86405">
        <w:rPr>
          <w:rFonts w:ascii="Times New Roman" w:eastAsia="宋体" w:hAnsi="Times New Roman" w:cs="Times New Roman"/>
          <w:szCs w:val="22"/>
        </w:rPr>
        <w:t>2019-330206-52-03-022740-000</w:t>
      </w:r>
      <w:r w:rsidRPr="00F86405">
        <w:rPr>
          <w:rFonts w:ascii="Times New Roman" w:eastAsia="宋体" w:hAnsi="Times New Roman" w:cs="Times New Roman" w:hint="eastAsia"/>
          <w:szCs w:val="22"/>
        </w:rPr>
        <w:t>。北仑公路段加油站项目总投资约</w:t>
      </w:r>
      <w:r w:rsidRPr="00F86405">
        <w:rPr>
          <w:rFonts w:ascii="Times New Roman" w:eastAsia="宋体" w:hAnsi="Times New Roman" w:cs="Times New Roman" w:hint="eastAsia"/>
          <w:szCs w:val="22"/>
        </w:rPr>
        <w:t>2</w:t>
      </w:r>
      <w:r w:rsidRPr="00F86405">
        <w:rPr>
          <w:rFonts w:ascii="Times New Roman" w:eastAsia="宋体" w:hAnsi="Times New Roman" w:cs="Times New Roman"/>
          <w:szCs w:val="22"/>
        </w:rPr>
        <w:t>00</w:t>
      </w:r>
      <w:r w:rsidRPr="00F86405">
        <w:rPr>
          <w:rFonts w:ascii="Times New Roman" w:eastAsia="宋体" w:hAnsi="Times New Roman" w:cs="Times New Roman" w:hint="eastAsia"/>
          <w:szCs w:val="22"/>
        </w:rPr>
        <w:t>万元，总用地面积</w:t>
      </w:r>
      <w:r w:rsidRPr="00F86405">
        <w:rPr>
          <w:rFonts w:ascii="Times New Roman" w:eastAsia="宋体" w:hAnsi="Times New Roman" w:cs="Times New Roman" w:hint="eastAsia"/>
          <w:szCs w:val="22"/>
        </w:rPr>
        <w:t>1460.7m</w:t>
      </w:r>
      <w:r w:rsidRPr="00F86405">
        <w:rPr>
          <w:rFonts w:ascii="Times New Roman" w:eastAsia="宋体" w:hAnsi="Times New Roman" w:cs="Times New Roman"/>
          <w:szCs w:val="22"/>
          <w:vertAlign w:val="superscript"/>
        </w:rPr>
        <w:t>2</w:t>
      </w:r>
      <w:r w:rsidRPr="00F86405">
        <w:rPr>
          <w:rFonts w:ascii="Times New Roman" w:eastAsia="宋体" w:hAnsi="Times New Roman" w:cs="Times New Roman" w:hint="eastAsia"/>
          <w:szCs w:val="22"/>
        </w:rPr>
        <w:t>。项目</w:t>
      </w:r>
      <w:r w:rsidRPr="00F86405">
        <w:rPr>
          <w:rFonts w:ascii="Times New Roman" w:eastAsia="宋体" w:hAnsi="Times New Roman" w:cs="Times New Roman"/>
          <w:szCs w:val="22"/>
        </w:rPr>
        <w:t>共设</w:t>
      </w:r>
      <w:r w:rsidRPr="00F86405">
        <w:rPr>
          <w:rFonts w:ascii="Times New Roman" w:eastAsia="宋体" w:hAnsi="Times New Roman" w:cs="Times New Roman" w:hint="eastAsia"/>
          <w:szCs w:val="22"/>
        </w:rPr>
        <w:t>3</w:t>
      </w:r>
      <w:r w:rsidRPr="00F86405">
        <w:rPr>
          <w:rFonts w:ascii="Times New Roman" w:eastAsia="宋体" w:hAnsi="Times New Roman" w:cs="Times New Roman" w:hint="eastAsia"/>
          <w:szCs w:val="22"/>
        </w:rPr>
        <w:t>个钢制埋地卧式双层油罐</w:t>
      </w:r>
      <w:r w:rsidRPr="00F86405">
        <w:rPr>
          <w:rFonts w:ascii="Times New Roman" w:eastAsia="宋体" w:hAnsi="Times New Roman" w:cs="Times New Roman"/>
          <w:szCs w:val="22"/>
        </w:rPr>
        <w:t>（分别为</w:t>
      </w:r>
      <w:r w:rsidRPr="00F86405">
        <w:rPr>
          <w:rFonts w:ascii="Times New Roman" w:eastAsia="宋体" w:hAnsi="Times New Roman" w:cs="Times New Roman" w:hint="eastAsia"/>
          <w:szCs w:val="22"/>
        </w:rPr>
        <w:t>1</w:t>
      </w:r>
      <w:r w:rsidRPr="00F86405">
        <w:rPr>
          <w:rFonts w:ascii="Times New Roman" w:eastAsia="宋体" w:hAnsi="Times New Roman" w:cs="Times New Roman" w:hint="eastAsia"/>
          <w:szCs w:val="22"/>
        </w:rPr>
        <w:t>个</w:t>
      </w:r>
      <w:r w:rsidRPr="00F86405">
        <w:rPr>
          <w:rFonts w:ascii="Times New Roman" w:eastAsia="宋体" w:hAnsi="Times New Roman" w:cs="Times New Roman" w:hint="eastAsia"/>
          <w:szCs w:val="22"/>
        </w:rPr>
        <w:t>3</w:t>
      </w:r>
      <w:r w:rsidRPr="00F86405">
        <w:rPr>
          <w:rFonts w:ascii="Times New Roman" w:eastAsia="宋体" w:hAnsi="Times New Roman" w:cs="Times New Roman"/>
          <w:szCs w:val="22"/>
        </w:rPr>
        <w:t>0m</w:t>
      </w:r>
      <w:r w:rsidRPr="00F86405">
        <w:rPr>
          <w:rFonts w:ascii="Times New Roman" w:eastAsia="宋体" w:hAnsi="Times New Roman" w:cs="Times New Roman"/>
          <w:szCs w:val="22"/>
          <w:vertAlign w:val="superscript"/>
        </w:rPr>
        <w:t>3</w:t>
      </w:r>
      <w:r w:rsidRPr="00F86405">
        <w:rPr>
          <w:rFonts w:ascii="Times New Roman" w:eastAsia="宋体" w:hAnsi="Times New Roman" w:cs="Times New Roman"/>
          <w:szCs w:val="22"/>
        </w:rPr>
        <w:t>的</w:t>
      </w:r>
      <w:r w:rsidRPr="00F86405">
        <w:rPr>
          <w:rFonts w:ascii="Times New Roman" w:eastAsia="宋体" w:hAnsi="Times New Roman" w:cs="Times New Roman" w:hint="eastAsia"/>
          <w:szCs w:val="22"/>
        </w:rPr>
        <w:t>9</w:t>
      </w:r>
      <w:r w:rsidRPr="00F86405">
        <w:rPr>
          <w:rFonts w:ascii="Times New Roman" w:eastAsia="宋体" w:hAnsi="Times New Roman" w:cs="Times New Roman"/>
          <w:szCs w:val="22"/>
        </w:rPr>
        <w:t>2#</w:t>
      </w:r>
      <w:r w:rsidRPr="00F86405">
        <w:rPr>
          <w:rFonts w:ascii="Times New Roman" w:eastAsia="宋体" w:hAnsi="Times New Roman" w:cs="Times New Roman"/>
          <w:szCs w:val="22"/>
        </w:rPr>
        <w:t>汽油罐，</w:t>
      </w:r>
      <w:r w:rsidRPr="00F86405">
        <w:rPr>
          <w:rFonts w:ascii="Times New Roman" w:eastAsia="宋体" w:hAnsi="Times New Roman" w:cs="Times New Roman" w:hint="eastAsia"/>
          <w:szCs w:val="22"/>
        </w:rPr>
        <w:t>1</w:t>
      </w:r>
      <w:r w:rsidRPr="00F86405">
        <w:rPr>
          <w:rFonts w:ascii="Times New Roman" w:eastAsia="宋体" w:hAnsi="Times New Roman" w:cs="Times New Roman" w:hint="eastAsia"/>
          <w:szCs w:val="22"/>
        </w:rPr>
        <w:t>个</w:t>
      </w:r>
      <w:r w:rsidRPr="00F86405">
        <w:rPr>
          <w:rFonts w:ascii="Times New Roman" w:eastAsia="宋体" w:hAnsi="Times New Roman" w:cs="Times New Roman" w:hint="eastAsia"/>
          <w:szCs w:val="22"/>
        </w:rPr>
        <w:t>3</w:t>
      </w:r>
      <w:r w:rsidRPr="00F86405">
        <w:rPr>
          <w:rFonts w:ascii="Times New Roman" w:eastAsia="宋体" w:hAnsi="Times New Roman" w:cs="Times New Roman"/>
          <w:szCs w:val="22"/>
        </w:rPr>
        <w:t>0m</w:t>
      </w:r>
      <w:r w:rsidRPr="00F86405">
        <w:rPr>
          <w:rFonts w:ascii="Times New Roman" w:eastAsia="宋体" w:hAnsi="Times New Roman" w:cs="Times New Roman"/>
          <w:szCs w:val="22"/>
          <w:vertAlign w:val="superscript"/>
        </w:rPr>
        <w:t>3</w:t>
      </w:r>
      <w:r w:rsidRPr="00F86405">
        <w:rPr>
          <w:rFonts w:ascii="Times New Roman" w:eastAsia="宋体" w:hAnsi="Times New Roman" w:cs="Times New Roman"/>
          <w:szCs w:val="22"/>
        </w:rPr>
        <w:t>的</w:t>
      </w:r>
      <w:r w:rsidRPr="00F86405">
        <w:rPr>
          <w:rFonts w:ascii="Times New Roman" w:eastAsia="宋体" w:hAnsi="Times New Roman" w:cs="Times New Roman" w:hint="eastAsia"/>
          <w:szCs w:val="22"/>
        </w:rPr>
        <w:t>9</w:t>
      </w:r>
      <w:r w:rsidRPr="00F86405">
        <w:rPr>
          <w:rFonts w:ascii="Times New Roman" w:eastAsia="宋体" w:hAnsi="Times New Roman" w:cs="Times New Roman"/>
          <w:szCs w:val="22"/>
        </w:rPr>
        <w:t>5#</w:t>
      </w:r>
      <w:r w:rsidRPr="00F86405">
        <w:rPr>
          <w:rFonts w:ascii="Times New Roman" w:eastAsia="宋体" w:hAnsi="Times New Roman" w:cs="Times New Roman"/>
          <w:szCs w:val="22"/>
        </w:rPr>
        <w:t>汽油罐</w:t>
      </w:r>
      <w:r w:rsidRPr="00F86405">
        <w:rPr>
          <w:rFonts w:ascii="Times New Roman" w:eastAsia="宋体" w:hAnsi="Times New Roman" w:cs="Times New Roman" w:hint="eastAsia"/>
          <w:szCs w:val="22"/>
        </w:rPr>
        <w:t>和</w:t>
      </w:r>
      <w:r w:rsidRPr="00F86405">
        <w:rPr>
          <w:rFonts w:ascii="Times New Roman" w:eastAsia="宋体" w:hAnsi="Times New Roman" w:cs="Times New Roman"/>
          <w:szCs w:val="22"/>
        </w:rPr>
        <w:t>1</w:t>
      </w:r>
      <w:r w:rsidRPr="00F86405">
        <w:rPr>
          <w:rFonts w:ascii="Times New Roman" w:eastAsia="宋体" w:hAnsi="Times New Roman" w:cs="Times New Roman" w:hint="eastAsia"/>
          <w:szCs w:val="22"/>
        </w:rPr>
        <w:t>个</w:t>
      </w:r>
      <w:r w:rsidRPr="00F86405">
        <w:rPr>
          <w:rFonts w:ascii="Times New Roman" w:eastAsia="宋体" w:hAnsi="Times New Roman" w:cs="Times New Roman" w:hint="eastAsia"/>
          <w:szCs w:val="22"/>
        </w:rPr>
        <w:t>3</w:t>
      </w:r>
      <w:r w:rsidRPr="00F86405">
        <w:rPr>
          <w:rFonts w:ascii="Times New Roman" w:eastAsia="宋体" w:hAnsi="Times New Roman" w:cs="Times New Roman"/>
          <w:szCs w:val="22"/>
        </w:rPr>
        <w:t>0m</w:t>
      </w:r>
      <w:r w:rsidRPr="00F86405">
        <w:rPr>
          <w:rFonts w:ascii="Times New Roman" w:eastAsia="宋体" w:hAnsi="Times New Roman" w:cs="Times New Roman"/>
          <w:szCs w:val="22"/>
          <w:vertAlign w:val="superscript"/>
        </w:rPr>
        <w:t>3</w:t>
      </w:r>
      <w:r w:rsidRPr="00F86405">
        <w:rPr>
          <w:rFonts w:ascii="Times New Roman" w:eastAsia="宋体" w:hAnsi="Times New Roman" w:cs="Times New Roman"/>
          <w:szCs w:val="22"/>
        </w:rPr>
        <w:t>的</w:t>
      </w:r>
      <w:r w:rsidRPr="00F86405">
        <w:rPr>
          <w:rFonts w:ascii="Times New Roman" w:eastAsia="宋体" w:hAnsi="Times New Roman" w:cs="Times New Roman"/>
          <w:szCs w:val="22"/>
        </w:rPr>
        <w:t>0#</w:t>
      </w:r>
      <w:r w:rsidRPr="00F86405">
        <w:rPr>
          <w:rFonts w:ascii="Times New Roman" w:eastAsia="宋体" w:hAnsi="Times New Roman" w:cs="Times New Roman" w:hint="eastAsia"/>
          <w:szCs w:val="22"/>
        </w:rPr>
        <w:t>柴油</w:t>
      </w:r>
      <w:r w:rsidRPr="00F86405">
        <w:rPr>
          <w:rFonts w:ascii="Times New Roman" w:eastAsia="宋体" w:hAnsi="Times New Roman" w:cs="Times New Roman"/>
          <w:szCs w:val="22"/>
        </w:rPr>
        <w:t>罐</w:t>
      </w:r>
      <w:r w:rsidRPr="00F86405">
        <w:rPr>
          <w:rFonts w:ascii="Times New Roman" w:eastAsia="宋体" w:hAnsi="Times New Roman" w:cs="Times New Roman" w:hint="eastAsia"/>
          <w:szCs w:val="22"/>
        </w:rPr>
        <w:t>），</w:t>
      </w:r>
      <w:r w:rsidRPr="00F86405">
        <w:rPr>
          <w:rFonts w:ascii="Times New Roman" w:eastAsia="宋体" w:hAnsi="Times New Roman" w:cs="Times New Roman"/>
          <w:szCs w:val="22"/>
        </w:rPr>
        <w:t>4</w:t>
      </w:r>
      <w:r w:rsidRPr="00F86405">
        <w:rPr>
          <w:rFonts w:ascii="Times New Roman" w:eastAsia="宋体" w:hAnsi="Times New Roman" w:cs="Times New Roman"/>
          <w:szCs w:val="22"/>
        </w:rPr>
        <w:t>台</w:t>
      </w:r>
      <w:r w:rsidRPr="00F86405">
        <w:rPr>
          <w:rFonts w:ascii="Times New Roman" w:eastAsia="宋体" w:hAnsi="Times New Roman" w:cs="Times New Roman" w:hint="eastAsia"/>
          <w:szCs w:val="22"/>
        </w:rPr>
        <w:t>自吸式</w:t>
      </w:r>
      <w:r w:rsidRPr="00F86405">
        <w:rPr>
          <w:rFonts w:ascii="Times New Roman" w:eastAsia="宋体" w:hAnsi="Times New Roman" w:cs="Times New Roman"/>
          <w:szCs w:val="22"/>
        </w:rPr>
        <w:t>加油机</w:t>
      </w:r>
      <w:r w:rsidRPr="00F86405">
        <w:rPr>
          <w:rFonts w:ascii="Times New Roman" w:eastAsia="宋体" w:hAnsi="Times New Roman" w:cs="Times New Roman" w:hint="eastAsia"/>
          <w:szCs w:val="22"/>
        </w:rPr>
        <w:t>，</w:t>
      </w:r>
      <w:r w:rsidRPr="00F86405">
        <w:rPr>
          <w:rFonts w:ascii="Times New Roman" w:eastAsia="宋体" w:hAnsi="Times New Roman" w:cs="Times New Roman"/>
          <w:szCs w:val="22"/>
        </w:rPr>
        <w:t>加油枪</w:t>
      </w:r>
      <w:r w:rsidRPr="00F86405">
        <w:rPr>
          <w:rFonts w:ascii="Times New Roman" w:eastAsia="宋体" w:hAnsi="Times New Roman" w:cs="Times New Roman"/>
          <w:szCs w:val="22"/>
        </w:rPr>
        <w:t>10</w:t>
      </w:r>
      <w:r w:rsidRPr="00F86405">
        <w:rPr>
          <w:rFonts w:ascii="Times New Roman" w:eastAsia="宋体" w:hAnsi="Times New Roman" w:cs="Times New Roman"/>
          <w:szCs w:val="22"/>
        </w:rPr>
        <w:t>支</w:t>
      </w:r>
      <w:r w:rsidRPr="00F86405">
        <w:rPr>
          <w:rFonts w:ascii="Times New Roman" w:eastAsia="宋体" w:hAnsi="Times New Roman" w:cs="Times New Roman" w:hint="eastAsia"/>
          <w:szCs w:val="22"/>
        </w:rPr>
        <w:t>，设置一次、二次油气回收装置，预留三次油气回收，年销售约</w:t>
      </w:r>
      <w:r w:rsidRPr="00F86405">
        <w:rPr>
          <w:rFonts w:ascii="Times New Roman" w:eastAsia="宋体" w:hAnsi="Times New Roman" w:cs="Times New Roman"/>
          <w:szCs w:val="22"/>
        </w:rPr>
        <w:t>2500</w:t>
      </w:r>
      <w:r w:rsidRPr="00F86405">
        <w:rPr>
          <w:rFonts w:ascii="Times New Roman" w:eastAsia="宋体" w:hAnsi="Times New Roman" w:cs="Times New Roman" w:hint="eastAsia"/>
          <w:szCs w:val="22"/>
        </w:rPr>
        <w:t>吨汽油，</w:t>
      </w:r>
      <w:r w:rsidRPr="00F86405">
        <w:rPr>
          <w:rFonts w:ascii="Times New Roman" w:eastAsia="宋体" w:hAnsi="Times New Roman" w:cs="Times New Roman"/>
          <w:szCs w:val="22"/>
        </w:rPr>
        <w:t>1500</w:t>
      </w:r>
      <w:r w:rsidRPr="00F86405">
        <w:rPr>
          <w:rFonts w:ascii="Times New Roman" w:eastAsia="宋体" w:hAnsi="Times New Roman" w:cs="Times New Roman" w:hint="eastAsia"/>
          <w:szCs w:val="22"/>
        </w:rPr>
        <w:t>吨柴油。</w:t>
      </w:r>
    </w:p>
    <w:p w:rsidR="00EA115E" w:rsidRPr="005E47D1" w:rsidRDefault="00EA115E" w:rsidP="005E47D1">
      <w:pPr>
        <w:pStyle w:val="a7"/>
        <w:spacing w:line="360" w:lineRule="auto"/>
        <w:ind w:firstLineChars="200"/>
        <w:jc w:val="both"/>
      </w:pPr>
      <w:r w:rsidRPr="005E47D1">
        <w:rPr>
          <w:rFonts w:hint="eastAsia"/>
        </w:rPr>
        <w:t>二、</w:t>
      </w:r>
      <w:r w:rsidR="005E47D1">
        <w:rPr>
          <w:rFonts w:hint="eastAsia"/>
        </w:rPr>
        <w:t>污染源强分析</w:t>
      </w:r>
    </w:p>
    <w:p w:rsidR="00EA115E" w:rsidRPr="005E47D1" w:rsidRDefault="00EA115E" w:rsidP="005E47D1">
      <w:pPr>
        <w:tabs>
          <w:tab w:val="left" w:pos="0"/>
          <w:tab w:val="left" w:pos="2955"/>
        </w:tabs>
        <w:autoSpaceDE w:val="0"/>
        <w:autoSpaceDN w:val="0"/>
        <w:spacing w:line="360" w:lineRule="auto"/>
        <w:ind w:firstLineChars="200" w:firstLine="480"/>
        <w:rPr>
          <w:sz w:val="24"/>
        </w:rPr>
      </w:pPr>
      <w:r w:rsidRPr="005E47D1">
        <w:rPr>
          <w:rFonts w:hint="eastAsia"/>
          <w:sz w:val="24"/>
        </w:rPr>
        <w:t>施工期污染源强分析</w:t>
      </w:r>
    </w:p>
    <w:p w:rsidR="00EA115E" w:rsidRPr="005E47D1" w:rsidRDefault="00EA115E" w:rsidP="005E47D1">
      <w:pPr>
        <w:tabs>
          <w:tab w:val="left" w:pos="0"/>
          <w:tab w:val="left" w:pos="2955"/>
        </w:tabs>
        <w:autoSpaceDE w:val="0"/>
        <w:autoSpaceDN w:val="0"/>
        <w:spacing w:line="360" w:lineRule="auto"/>
        <w:ind w:firstLineChars="200" w:firstLine="480"/>
        <w:rPr>
          <w:sz w:val="24"/>
        </w:rPr>
      </w:pPr>
      <w:r w:rsidRPr="005E47D1">
        <w:rPr>
          <w:rFonts w:hint="eastAsia"/>
          <w:sz w:val="24"/>
          <w:lang w:val="x-none"/>
        </w:rPr>
        <w:t>本项目已建成，无施工期污染。</w:t>
      </w:r>
    </w:p>
    <w:p w:rsidR="00EA115E" w:rsidRPr="005E47D1" w:rsidRDefault="00EA115E" w:rsidP="005E47D1">
      <w:pPr>
        <w:tabs>
          <w:tab w:val="left" w:pos="0"/>
          <w:tab w:val="left" w:pos="2955"/>
        </w:tabs>
        <w:autoSpaceDE w:val="0"/>
        <w:autoSpaceDN w:val="0"/>
        <w:spacing w:line="360" w:lineRule="auto"/>
        <w:ind w:firstLineChars="200" w:firstLine="480"/>
        <w:rPr>
          <w:sz w:val="24"/>
        </w:rPr>
      </w:pPr>
      <w:r w:rsidRPr="005E47D1">
        <w:rPr>
          <w:rFonts w:hint="eastAsia"/>
          <w:sz w:val="24"/>
        </w:rPr>
        <w:t>营运期污染源强分析</w:t>
      </w:r>
    </w:p>
    <w:p w:rsidR="00EA115E" w:rsidRPr="005E47D1" w:rsidRDefault="00EA115E" w:rsidP="005E47D1">
      <w:pPr>
        <w:pStyle w:val="a7"/>
        <w:spacing w:line="360" w:lineRule="auto"/>
        <w:ind w:firstLineChars="200"/>
        <w:jc w:val="both"/>
      </w:pPr>
      <w:r w:rsidRPr="005E47D1">
        <w:rPr>
          <w:rFonts w:hint="eastAsia"/>
        </w:rPr>
        <w:t>（</w:t>
      </w:r>
      <w:r w:rsidRPr="005E47D1">
        <w:rPr>
          <w:rFonts w:hint="eastAsia"/>
        </w:rPr>
        <w:t>1</w:t>
      </w:r>
      <w:r w:rsidRPr="005E47D1">
        <w:rPr>
          <w:rFonts w:hint="eastAsia"/>
        </w:rPr>
        <w:t>）废气污染源强分析</w:t>
      </w:r>
    </w:p>
    <w:p w:rsidR="00EA115E" w:rsidRPr="005E47D1" w:rsidRDefault="00EA115E" w:rsidP="005E47D1">
      <w:pPr>
        <w:spacing w:line="360" w:lineRule="auto"/>
        <w:ind w:firstLineChars="200" w:firstLine="480"/>
        <w:rPr>
          <w:rFonts w:hAnsi="宋体"/>
          <w:color w:val="000000"/>
          <w:sz w:val="24"/>
        </w:rPr>
      </w:pPr>
      <w:r w:rsidRPr="005E47D1">
        <w:rPr>
          <w:rFonts w:hint="eastAsia"/>
          <w:sz w:val="24"/>
        </w:rPr>
        <w:t>项目产生的废气主要为</w:t>
      </w:r>
      <w:r w:rsidRPr="005E47D1">
        <w:rPr>
          <w:rFonts w:hAnsi="宋体" w:hint="eastAsia"/>
          <w:sz w:val="24"/>
        </w:rPr>
        <w:t>油品贮存、卸油、加油作业等过程产生的油气挥发废气</w:t>
      </w:r>
      <w:r w:rsidRPr="005E47D1">
        <w:rPr>
          <w:rFonts w:asciiTheme="minorHAnsi" w:eastAsiaTheme="minorEastAsia" w:hAnsiTheme="minorHAnsi" w:cstheme="minorBidi" w:hint="eastAsia"/>
          <w:sz w:val="24"/>
        </w:rPr>
        <w:t>，</w:t>
      </w:r>
      <w:r w:rsidRPr="005E47D1">
        <w:rPr>
          <w:rFonts w:hAnsi="宋体"/>
          <w:color w:val="000000"/>
          <w:sz w:val="24"/>
        </w:rPr>
        <w:t>产生和排放情况详见表</w:t>
      </w:r>
      <w:r w:rsidRPr="005E47D1">
        <w:rPr>
          <w:rFonts w:hAnsi="宋体"/>
          <w:color w:val="000000"/>
          <w:sz w:val="24"/>
        </w:rPr>
        <w:t>1</w:t>
      </w:r>
      <w:r w:rsidRPr="005E47D1">
        <w:rPr>
          <w:rFonts w:hAnsi="宋体"/>
          <w:color w:val="000000"/>
          <w:sz w:val="24"/>
        </w:rPr>
        <w:t>。</w:t>
      </w:r>
    </w:p>
    <w:p w:rsidR="00600F9B" w:rsidRDefault="00EA115E" w:rsidP="00EA115E">
      <w:pPr>
        <w:ind w:leftChars="100" w:left="210"/>
        <w:jc w:val="center"/>
        <w:rPr>
          <w:b/>
          <w:color w:val="000000"/>
          <w:szCs w:val="21"/>
        </w:rPr>
      </w:pPr>
      <w:r w:rsidRPr="00154A97">
        <w:rPr>
          <w:b/>
          <w:color w:val="000000"/>
          <w:szCs w:val="21"/>
        </w:rPr>
        <w:t>表</w:t>
      </w:r>
      <w:r>
        <w:rPr>
          <w:b/>
          <w:color w:val="000000"/>
          <w:szCs w:val="21"/>
        </w:rPr>
        <w:t>1</w:t>
      </w:r>
      <w:r w:rsidRPr="00154A97">
        <w:rPr>
          <w:b/>
          <w:color w:val="000000"/>
          <w:szCs w:val="21"/>
        </w:rPr>
        <w:t xml:space="preserve">  </w:t>
      </w:r>
      <w:r w:rsidRPr="00154A97">
        <w:rPr>
          <w:rFonts w:hint="eastAsia"/>
          <w:b/>
          <w:color w:val="000000"/>
          <w:szCs w:val="21"/>
        </w:rPr>
        <w:t>本项目油气挥发废气产生和排放情况</w:t>
      </w:r>
    </w:p>
    <w:tbl>
      <w:tblPr>
        <w:tblW w:w="4321" w:type="pct"/>
        <w:jc w:val="center"/>
        <w:tblLook w:val="04A0" w:firstRow="1" w:lastRow="0" w:firstColumn="1" w:lastColumn="0" w:noHBand="0" w:noVBand="1"/>
      </w:tblPr>
      <w:tblGrid>
        <w:gridCol w:w="1389"/>
        <w:gridCol w:w="867"/>
        <w:gridCol w:w="1208"/>
        <w:gridCol w:w="1901"/>
        <w:gridCol w:w="1381"/>
        <w:gridCol w:w="2047"/>
      </w:tblGrid>
      <w:tr w:rsidR="00F86405" w:rsidRPr="0096181F" w:rsidTr="00F86405">
        <w:trPr>
          <w:trHeight w:val="20"/>
          <w:jc w:val="center"/>
        </w:trPr>
        <w:tc>
          <w:tcPr>
            <w:tcW w:w="790" w:type="pct"/>
            <w:tcBorders>
              <w:top w:val="single" w:sz="12" w:space="0" w:color="auto"/>
              <w:left w:val="single" w:sz="12" w:space="0" w:color="auto"/>
              <w:bottom w:val="single" w:sz="4" w:space="0" w:color="auto"/>
              <w:right w:val="single" w:sz="4" w:space="0" w:color="auto"/>
            </w:tcBorders>
            <w:shd w:val="clear" w:color="auto" w:fill="auto"/>
            <w:vAlign w:val="center"/>
          </w:tcPr>
          <w:p w:rsidR="00F86405" w:rsidRPr="0096181F" w:rsidRDefault="00F86405" w:rsidP="00FC0275">
            <w:pPr>
              <w:widowControl/>
              <w:jc w:val="center"/>
              <w:rPr>
                <w:b/>
                <w:bCs/>
                <w:kern w:val="0"/>
                <w:szCs w:val="21"/>
              </w:rPr>
            </w:pPr>
            <w:r w:rsidRPr="0096181F">
              <w:rPr>
                <w:b/>
                <w:bCs/>
                <w:kern w:val="0"/>
                <w:szCs w:val="21"/>
              </w:rPr>
              <w:t>产生</w:t>
            </w:r>
          </w:p>
          <w:p w:rsidR="00F86405" w:rsidRPr="0096181F" w:rsidRDefault="00F86405" w:rsidP="00FC0275">
            <w:pPr>
              <w:widowControl/>
              <w:jc w:val="center"/>
              <w:rPr>
                <w:b/>
                <w:bCs/>
                <w:kern w:val="0"/>
                <w:szCs w:val="21"/>
              </w:rPr>
            </w:pPr>
            <w:r w:rsidRPr="0096181F">
              <w:rPr>
                <w:b/>
                <w:bCs/>
                <w:kern w:val="0"/>
                <w:szCs w:val="21"/>
              </w:rPr>
              <w:t>工序</w:t>
            </w:r>
          </w:p>
        </w:tc>
        <w:tc>
          <w:tcPr>
            <w:tcW w:w="1180" w:type="pct"/>
            <w:gridSpan w:val="2"/>
            <w:tcBorders>
              <w:top w:val="single" w:sz="12" w:space="0" w:color="auto"/>
              <w:left w:val="nil"/>
              <w:bottom w:val="single" w:sz="4" w:space="0" w:color="auto"/>
              <w:right w:val="single" w:sz="4" w:space="0" w:color="auto"/>
            </w:tcBorders>
            <w:shd w:val="clear" w:color="auto" w:fill="auto"/>
            <w:vAlign w:val="center"/>
          </w:tcPr>
          <w:p w:rsidR="00F86405" w:rsidRPr="004A7CBC" w:rsidRDefault="00F86405" w:rsidP="00FC0275">
            <w:pPr>
              <w:widowControl/>
              <w:jc w:val="center"/>
            </w:pPr>
            <w:r>
              <w:rPr>
                <w:rFonts w:hint="eastAsia"/>
                <w:b/>
                <w:bCs/>
                <w:kern w:val="0"/>
                <w:szCs w:val="21"/>
              </w:rPr>
              <w:t>油品</w:t>
            </w:r>
            <w:r w:rsidRPr="0096181F">
              <w:rPr>
                <w:b/>
                <w:bCs/>
                <w:kern w:val="0"/>
                <w:szCs w:val="21"/>
              </w:rPr>
              <w:t>中转量（</w:t>
            </w:r>
            <w:r>
              <w:rPr>
                <w:b/>
                <w:bCs/>
                <w:kern w:val="0"/>
                <w:szCs w:val="21"/>
              </w:rPr>
              <w:t>t</w:t>
            </w:r>
            <w:r w:rsidRPr="0096181F">
              <w:rPr>
                <w:b/>
                <w:bCs/>
                <w:kern w:val="0"/>
                <w:szCs w:val="21"/>
              </w:rPr>
              <w:t>/a</w:t>
            </w:r>
            <w:r w:rsidRPr="0096181F">
              <w:rPr>
                <w:b/>
                <w:bCs/>
                <w:kern w:val="0"/>
                <w:szCs w:val="21"/>
              </w:rPr>
              <w:t>）</w:t>
            </w:r>
          </w:p>
        </w:tc>
        <w:tc>
          <w:tcPr>
            <w:tcW w:w="1081" w:type="pct"/>
            <w:tcBorders>
              <w:top w:val="single" w:sz="12" w:space="0" w:color="auto"/>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b/>
                <w:bCs/>
                <w:kern w:val="0"/>
                <w:szCs w:val="21"/>
              </w:rPr>
            </w:pPr>
            <w:r w:rsidRPr="0096181F">
              <w:rPr>
                <w:b/>
                <w:bCs/>
                <w:kern w:val="0"/>
                <w:szCs w:val="21"/>
              </w:rPr>
              <w:t>非甲烷总烃产生量（</w:t>
            </w:r>
            <w:r w:rsidRPr="004B4B89">
              <w:rPr>
                <w:rFonts w:hint="eastAsia"/>
                <w:b/>
                <w:bCs/>
                <w:kern w:val="0"/>
                <w:szCs w:val="21"/>
              </w:rPr>
              <w:t>kg</w:t>
            </w:r>
            <w:r w:rsidRPr="0096181F">
              <w:rPr>
                <w:b/>
                <w:bCs/>
                <w:kern w:val="0"/>
                <w:szCs w:val="21"/>
              </w:rPr>
              <w:t>/a</w:t>
            </w:r>
            <w:r w:rsidRPr="0096181F">
              <w:rPr>
                <w:b/>
                <w:bCs/>
                <w:kern w:val="0"/>
                <w:szCs w:val="21"/>
              </w:rPr>
              <w:t>）</w:t>
            </w:r>
          </w:p>
        </w:tc>
        <w:tc>
          <w:tcPr>
            <w:tcW w:w="785" w:type="pct"/>
            <w:tcBorders>
              <w:top w:val="single" w:sz="12" w:space="0" w:color="auto"/>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b/>
                <w:bCs/>
                <w:kern w:val="0"/>
                <w:szCs w:val="21"/>
              </w:rPr>
            </w:pPr>
            <w:r w:rsidRPr="0096181F">
              <w:rPr>
                <w:b/>
                <w:bCs/>
                <w:kern w:val="0"/>
                <w:szCs w:val="21"/>
              </w:rPr>
              <w:t>治理措施</w:t>
            </w:r>
            <w:r w:rsidRPr="0096181F">
              <w:rPr>
                <w:b/>
                <w:bCs/>
                <w:kern w:val="0"/>
                <w:szCs w:val="21"/>
              </w:rPr>
              <w:t>/</w:t>
            </w:r>
            <w:r w:rsidRPr="0096181F">
              <w:rPr>
                <w:b/>
                <w:bCs/>
                <w:kern w:val="0"/>
                <w:szCs w:val="21"/>
              </w:rPr>
              <w:t>效率</w:t>
            </w:r>
          </w:p>
        </w:tc>
        <w:tc>
          <w:tcPr>
            <w:tcW w:w="1164" w:type="pct"/>
            <w:tcBorders>
              <w:top w:val="single" w:sz="12" w:space="0" w:color="auto"/>
              <w:left w:val="nil"/>
              <w:bottom w:val="single" w:sz="4" w:space="0" w:color="auto"/>
              <w:right w:val="single" w:sz="12" w:space="0" w:color="auto"/>
            </w:tcBorders>
            <w:shd w:val="clear" w:color="auto" w:fill="auto"/>
            <w:vAlign w:val="center"/>
          </w:tcPr>
          <w:p w:rsidR="00F86405" w:rsidRPr="0096181F" w:rsidRDefault="00F86405" w:rsidP="00FC0275">
            <w:pPr>
              <w:widowControl/>
              <w:jc w:val="center"/>
              <w:rPr>
                <w:b/>
                <w:bCs/>
                <w:kern w:val="0"/>
                <w:szCs w:val="21"/>
              </w:rPr>
            </w:pPr>
            <w:r w:rsidRPr="0096181F">
              <w:rPr>
                <w:b/>
                <w:bCs/>
                <w:kern w:val="0"/>
                <w:szCs w:val="21"/>
              </w:rPr>
              <w:t>非甲烷总烃总排放量（</w:t>
            </w:r>
            <w:r w:rsidRPr="004B4B89">
              <w:rPr>
                <w:rFonts w:hint="eastAsia"/>
                <w:b/>
                <w:bCs/>
                <w:kern w:val="0"/>
                <w:szCs w:val="21"/>
              </w:rPr>
              <w:t>kg</w:t>
            </w:r>
            <w:r w:rsidRPr="0096181F">
              <w:rPr>
                <w:b/>
                <w:bCs/>
                <w:kern w:val="0"/>
                <w:szCs w:val="21"/>
              </w:rPr>
              <w:t>/a</w:t>
            </w:r>
            <w:r w:rsidRPr="0096181F">
              <w:rPr>
                <w:b/>
                <w:bCs/>
                <w:kern w:val="0"/>
                <w:szCs w:val="21"/>
              </w:rPr>
              <w:t>）</w:t>
            </w:r>
          </w:p>
        </w:tc>
      </w:tr>
      <w:tr w:rsidR="00F86405" w:rsidRPr="00803B99" w:rsidTr="00F86405">
        <w:trPr>
          <w:trHeight w:val="543"/>
          <w:jc w:val="center"/>
        </w:trPr>
        <w:tc>
          <w:tcPr>
            <w:tcW w:w="790" w:type="pct"/>
            <w:vMerge w:val="restart"/>
            <w:tcBorders>
              <w:top w:val="nil"/>
              <w:left w:val="single" w:sz="12"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sidRPr="0096181F">
              <w:rPr>
                <w:kern w:val="0"/>
                <w:szCs w:val="21"/>
              </w:rPr>
              <w:t>卸油（大呼吸）</w:t>
            </w:r>
          </w:p>
        </w:tc>
        <w:tc>
          <w:tcPr>
            <w:tcW w:w="493" w:type="pct"/>
            <w:tcBorders>
              <w:top w:val="nil"/>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sidRPr="0096181F">
              <w:rPr>
                <w:kern w:val="0"/>
                <w:szCs w:val="21"/>
              </w:rPr>
              <w:t>汽油</w:t>
            </w:r>
          </w:p>
        </w:tc>
        <w:tc>
          <w:tcPr>
            <w:tcW w:w="687" w:type="pct"/>
            <w:tcBorders>
              <w:top w:val="nil"/>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Pr>
                <w:kern w:val="0"/>
                <w:szCs w:val="21"/>
              </w:rPr>
              <w:t>2500</w:t>
            </w:r>
          </w:p>
        </w:tc>
        <w:tc>
          <w:tcPr>
            <w:tcW w:w="1081" w:type="pct"/>
            <w:tcBorders>
              <w:top w:val="nil"/>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Pr>
                <w:rFonts w:eastAsia="等线"/>
                <w:szCs w:val="21"/>
              </w:rPr>
              <w:t>2932.5</w:t>
            </w:r>
          </w:p>
        </w:tc>
        <w:tc>
          <w:tcPr>
            <w:tcW w:w="785" w:type="pct"/>
            <w:tcBorders>
              <w:top w:val="single" w:sz="4" w:space="0" w:color="auto"/>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sidRPr="00584AA3">
              <w:rPr>
                <w:rFonts w:hint="eastAsia"/>
                <w:kern w:val="0"/>
                <w:szCs w:val="21"/>
              </w:rPr>
              <w:t>油气回收系统</w:t>
            </w:r>
            <w:r w:rsidRPr="00584AA3">
              <w:rPr>
                <w:rFonts w:hint="eastAsia"/>
                <w:kern w:val="0"/>
                <w:szCs w:val="21"/>
              </w:rPr>
              <w:t>/95%</w:t>
            </w:r>
          </w:p>
        </w:tc>
        <w:tc>
          <w:tcPr>
            <w:tcW w:w="1164" w:type="pct"/>
            <w:tcBorders>
              <w:top w:val="nil"/>
              <w:left w:val="nil"/>
              <w:bottom w:val="single" w:sz="4" w:space="0" w:color="auto"/>
              <w:right w:val="single" w:sz="12" w:space="0" w:color="auto"/>
            </w:tcBorders>
            <w:shd w:val="clear" w:color="auto" w:fill="auto"/>
            <w:vAlign w:val="center"/>
          </w:tcPr>
          <w:p w:rsidR="00F86405" w:rsidRPr="00803B99" w:rsidRDefault="00F86405" w:rsidP="00FC0275">
            <w:pPr>
              <w:widowControl/>
              <w:jc w:val="center"/>
              <w:rPr>
                <w:kern w:val="0"/>
                <w:szCs w:val="21"/>
              </w:rPr>
            </w:pPr>
            <w:r>
              <w:rPr>
                <w:rFonts w:eastAsia="等线"/>
                <w:szCs w:val="21"/>
              </w:rPr>
              <w:t>146.625</w:t>
            </w:r>
          </w:p>
        </w:tc>
      </w:tr>
      <w:tr w:rsidR="00F86405" w:rsidRPr="00803B99" w:rsidTr="00F86405">
        <w:trPr>
          <w:trHeight w:val="20"/>
          <w:jc w:val="center"/>
        </w:trPr>
        <w:tc>
          <w:tcPr>
            <w:tcW w:w="790" w:type="pct"/>
            <w:vMerge/>
            <w:tcBorders>
              <w:left w:val="single" w:sz="12" w:space="0" w:color="auto"/>
              <w:bottom w:val="nil"/>
              <w:right w:val="single" w:sz="4" w:space="0" w:color="auto"/>
            </w:tcBorders>
            <w:shd w:val="clear" w:color="auto" w:fill="auto"/>
            <w:vAlign w:val="center"/>
          </w:tcPr>
          <w:p w:rsidR="00F86405" w:rsidRPr="0096181F" w:rsidRDefault="00F86405" w:rsidP="00FC0275">
            <w:pPr>
              <w:widowControl/>
              <w:jc w:val="center"/>
              <w:rPr>
                <w:kern w:val="0"/>
                <w:szCs w:val="21"/>
              </w:rPr>
            </w:pPr>
          </w:p>
        </w:tc>
        <w:tc>
          <w:tcPr>
            <w:tcW w:w="493" w:type="pct"/>
            <w:tcBorders>
              <w:top w:val="nil"/>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sidRPr="0096181F">
              <w:rPr>
                <w:rFonts w:hint="eastAsia"/>
                <w:kern w:val="0"/>
                <w:szCs w:val="21"/>
              </w:rPr>
              <w:t>柴油</w:t>
            </w:r>
          </w:p>
        </w:tc>
        <w:tc>
          <w:tcPr>
            <w:tcW w:w="687" w:type="pct"/>
            <w:tcBorders>
              <w:top w:val="nil"/>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Pr>
                <w:kern w:val="0"/>
                <w:szCs w:val="21"/>
              </w:rPr>
              <w:t>1500</w:t>
            </w:r>
          </w:p>
        </w:tc>
        <w:tc>
          <w:tcPr>
            <w:tcW w:w="1081" w:type="pct"/>
            <w:tcBorders>
              <w:top w:val="nil"/>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Pr>
                <w:rFonts w:eastAsia="等线"/>
                <w:szCs w:val="21"/>
              </w:rPr>
              <w:t>40.5</w:t>
            </w:r>
          </w:p>
        </w:tc>
        <w:tc>
          <w:tcPr>
            <w:tcW w:w="785" w:type="pct"/>
            <w:tcBorders>
              <w:top w:val="single" w:sz="4" w:space="0" w:color="auto"/>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Pr>
                <w:rFonts w:hint="eastAsia"/>
                <w:kern w:val="0"/>
                <w:szCs w:val="21"/>
              </w:rPr>
              <w:t>/</w:t>
            </w:r>
          </w:p>
        </w:tc>
        <w:tc>
          <w:tcPr>
            <w:tcW w:w="1164" w:type="pct"/>
            <w:tcBorders>
              <w:top w:val="nil"/>
              <w:left w:val="nil"/>
              <w:bottom w:val="single" w:sz="4" w:space="0" w:color="auto"/>
              <w:right w:val="single" w:sz="12" w:space="0" w:color="auto"/>
            </w:tcBorders>
            <w:shd w:val="clear" w:color="auto" w:fill="auto"/>
            <w:vAlign w:val="center"/>
          </w:tcPr>
          <w:p w:rsidR="00F86405" w:rsidRPr="00803B99" w:rsidRDefault="00F86405" w:rsidP="00FC0275">
            <w:pPr>
              <w:widowControl/>
              <w:jc w:val="center"/>
              <w:rPr>
                <w:kern w:val="0"/>
                <w:szCs w:val="21"/>
              </w:rPr>
            </w:pPr>
            <w:r>
              <w:rPr>
                <w:rFonts w:eastAsia="等线"/>
                <w:szCs w:val="21"/>
              </w:rPr>
              <w:t>40.5</w:t>
            </w:r>
          </w:p>
        </w:tc>
      </w:tr>
      <w:tr w:rsidR="00F86405" w:rsidRPr="00803B99" w:rsidTr="00F86405">
        <w:trPr>
          <w:trHeight w:val="20"/>
          <w:jc w:val="center"/>
        </w:trPr>
        <w:tc>
          <w:tcPr>
            <w:tcW w:w="790" w:type="pct"/>
            <w:vMerge w:val="restart"/>
            <w:tcBorders>
              <w:top w:val="single" w:sz="4" w:space="0" w:color="auto"/>
              <w:left w:val="single" w:sz="12"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sidRPr="0096181F">
              <w:rPr>
                <w:kern w:val="0"/>
                <w:szCs w:val="21"/>
              </w:rPr>
              <w:t>加油</w:t>
            </w:r>
          </w:p>
        </w:tc>
        <w:tc>
          <w:tcPr>
            <w:tcW w:w="493" w:type="pct"/>
            <w:tcBorders>
              <w:top w:val="nil"/>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sidRPr="0096181F">
              <w:rPr>
                <w:kern w:val="0"/>
                <w:szCs w:val="21"/>
              </w:rPr>
              <w:t>汽油</w:t>
            </w:r>
          </w:p>
        </w:tc>
        <w:tc>
          <w:tcPr>
            <w:tcW w:w="687" w:type="pct"/>
            <w:tcBorders>
              <w:top w:val="nil"/>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Pr>
                <w:kern w:val="0"/>
                <w:szCs w:val="21"/>
              </w:rPr>
              <w:t>2500</w:t>
            </w:r>
          </w:p>
        </w:tc>
        <w:tc>
          <w:tcPr>
            <w:tcW w:w="1081" w:type="pct"/>
            <w:tcBorders>
              <w:top w:val="nil"/>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Pr>
                <w:rFonts w:eastAsia="等线"/>
                <w:szCs w:val="21"/>
              </w:rPr>
              <w:t>365</w:t>
            </w:r>
          </w:p>
        </w:tc>
        <w:tc>
          <w:tcPr>
            <w:tcW w:w="785" w:type="pct"/>
            <w:tcBorders>
              <w:top w:val="single" w:sz="4" w:space="0" w:color="auto"/>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sidRPr="0096181F">
              <w:rPr>
                <w:kern w:val="0"/>
                <w:szCs w:val="21"/>
              </w:rPr>
              <w:t>油气回收系统</w:t>
            </w:r>
            <w:r w:rsidRPr="0096181F">
              <w:rPr>
                <w:kern w:val="0"/>
                <w:szCs w:val="21"/>
              </w:rPr>
              <w:t>/9</w:t>
            </w:r>
            <w:r>
              <w:rPr>
                <w:kern w:val="0"/>
                <w:szCs w:val="21"/>
              </w:rPr>
              <w:t>5</w:t>
            </w:r>
            <w:r w:rsidRPr="0096181F">
              <w:rPr>
                <w:kern w:val="0"/>
                <w:szCs w:val="21"/>
              </w:rPr>
              <w:t>%</w:t>
            </w:r>
          </w:p>
        </w:tc>
        <w:tc>
          <w:tcPr>
            <w:tcW w:w="1164" w:type="pct"/>
            <w:tcBorders>
              <w:top w:val="nil"/>
              <w:left w:val="nil"/>
              <w:bottom w:val="single" w:sz="4" w:space="0" w:color="auto"/>
              <w:right w:val="single" w:sz="12" w:space="0" w:color="auto"/>
            </w:tcBorders>
            <w:shd w:val="clear" w:color="auto" w:fill="auto"/>
            <w:vAlign w:val="center"/>
          </w:tcPr>
          <w:p w:rsidR="00F86405" w:rsidRPr="00803B99" w:rsidRDefault="00F86405" w:rsidP="00FC0275">
            <w:pPr>
              <w:widowControl/>
              <w:jc w:val="center"/>
              <w:rPr>
                <w:kern w:val="0"/>
                <w:szCs w:val="21"/>
              </w:rPr>
            </w:pPr>
            <w:r>
              <w:rPr>
                <w:rFonts w:eastAsia="等线"/>
                <w:szCs w:val="21"/>
              </w:rPr>
              <w:t>18.25</w:t>
            </w:r>
          </w:p>
        </w:tc>
      </w:tr>
      <w:tr w:rsidR="00F86405" w:rsidRPr="0096181F" w:rsidTr="00F86405">
        <w:trPr>
          <w:trHeight w:val="20"/>
          <w:jc w:val="center"/>
        </w:trPr>
        <w:tc>
          <w:tcPr>
            <w:tcW w:w="790" w:type="pct"/>
            <w:vMerge/>
            <w:tcBorders>
              <w:left w:val="single" w:sz="12" w:space="0" w:color="auto"/>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p>
        </w:tc>
        <w:tc>
          <w:tcPr>
            <w:tcW w:w="493" w:type="pct"/>
            <w:tcBorders>
              <w:top w:val="nil"/>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sidRPr="0096181F">
              <w:rPr>
                <w:rFonts w:hint="eastAsia"/>
                <w:kern w:val="0"/>
                <w:szCs w:val="21"/>
              </w:rPr>
              <w:t>柴油</w:t>
            </w:r>
          </w:p>
        </w:tc>
        <w:tc>
          <w:tcPr>
            <w:tcW w:w="687" w:type="pct"/>
            <w:tcBorders>
              <w:top w:val="nil"/>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Pr>
                <w:kern w:val="0"/>
                <w:szCs w:val="21"/>
              </w:rPr>
              <w:t>1500</w:t>
            </w:r>
          </w:p>
        </w:tc>
        <w:tc>
          <w:tcPr>
            <w:tcW w:w="1081" w:type="pct"/>
            <w:tcBorders>
              <w:top w:val="nil"/>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Pr>
                <w:rFonts w:eastAsia="等线"/>
                <w:szCs w:val="21"/>
              </w:rPr>
              <w:t>72</w:t>
            </w:r>
          </w:p>
        </w:tc>
        <w:tc>
          <w:tcPr>
            <w:tcW w:w="785" w:type="pct"/>
            <w:tcBorders>
              <w:top w:val="single" w:sz="4" w:space="0" w:color="auto"/>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Pr>
                <w:rFonts w:hint="eastAsia"/>
                <w:kern w:val="0"/>
                <w:szCs w:val="21"/>
              </w:rPr>
              <w:t>/</w:t>
            </w:r>
          </w:p>
        </w:tc>
        <w:tc>
          <w:tcPr>
            <w:tcW w:w="1164" w:type="pct"/>
            <w:tcBorders>
              <w:top w:val="nil"/>
              <w:left w:val="nil"/>
              <w:bottom w:val="single" w:sz="4" w:space="0" w:color="auto"/>
              <w:right w:val="single" w:sz="12" w:space="0" w:color="auto"/>
            </w:tcBorders>
            <w:shd w:val="clear" w:color="auto" w:fill="auto"/>
            <w:vAlign w:val="center"/>
          </w:tcPr>
          <w:p w:rsidR="00F86405" w:rsidRPr="0096181F" w:rsidRDefault="00F86405" w:rsidP="00FC0275">
            <w:pPr>
              <w:widowControl/>
              <w:jc w:val="center"/>
              <w:rPr>
                <w:kern w:val="0"/>
                <w:szCs w:val="21"/>
              </w:rPr>
            </w:pPr>
            <w:r>
              <w:rPr>
                <w:rFonts w:eastAsia="等线"/>
                <w:szCs w:val="21"/>
              </w:rPr>
              <w:t>72</w:t>
            </w:r>
          </w:p>
        </w:tc>
      </w:tr>
      <w:tr w:rsidR="00F86405" w:rsidRPr="0096181F" w:rsidTr="00F86405">
        <w:trPr>
          <w:trHeight w:val="307"/>
          <w:jc w:val="center"/>
        </w:trPr>
        <w:tc>
          <w:tcPr>
            <w:tcW w:w="790" w:type="pct"/>
            <w:vMerge w:val="restart"/>
            <w:tcBorders>
              <w:top w:val="single" w:sz="4" w:space="0" w:color="auto"/>
              <w:left w:val="single" w:sz="12"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sidRPr="0096181F">
              <w:rPr>
                <w:kern w:val="0"/>
                <w:szCs w:val="21"/>
              </w:rPr>
              <w:t>储油（小呼吸）</w:t>
            </w:r>
          </w:p>
        </w:tc>
        <w:tc>
          <w:tcPr>
            <w:tcW w:w="493" w:type="pct"/>
            <w:tcBorders>
              <w:top w:val="nil"/>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sidRPr="0096181F">
              <w:rPr>
                <w:rFonts w:hint="eastAsia"/>
                <w:kern w:val="0"/>
                <w:szCs w:val="21"/>
              </w:rPr>
              <w:t>汽油</w:t>
            </w:r>
          </w:p>
        </w:tc>
        <w:tc>
          <w:tcPr>
            <w:tcW w:w="687" w:type="pct"/>
            <w:tcBorders>
              <w:top w:val="nil"/>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Pr>
                <w:kern w:val="0"/>
                <w:szCs w:val="21"/>
              </w:rPr>
              <w:t>2500</w:t>
            </w:r>
          </w:p>
        </w:tc>
        <w:tc>
          <w:tcPr>
            <w:tcW w:w="3030" w:type="pct"/>
            <w:gridSpan w:val="3"/>
            <w:vMerge w:val="restart"/>
            <w:tcBorders>
              <w:top w:val="nil"/>
              <w:left w:val="nil"/>
              <w:right w:val="single" w:sz="12" w:space="0" w:color="auto"/>
            </w:tcBorders>
            <w:shd w:val="clear" w:color="auto" w:fill="auto"/>
            <w:vAlign w:val="center"/>
          </w:tcPr>
          <w:p w:rsidR="00F86405" w:rsidRPr="0096181F" w:rsidRDefault="00F86405" w:rsidP="00FC0275">
            <w:pPr>
              <w:widowControl/>
              <w:jc w:val="center"/>
              <w:rPr>
                <w:kern w:val="0"/>
                <w:szCs w:val="21"/>
              </w:rPr>
            </w:pPr>
            <w:r>
              <w:rPr>
                <w:rFonts w:hint="eastAsia"/>
                <w:kern w:val="0"/>
                <w:szCs w:val="21"/>
              </w:rPr>
              <w:t>/</w:t>
            </w:r>
          </w:p>
        </w:tc>
      </w:tr>
      <w:tr w:rsidR="00F86405" w:rsidRPr="0096181F" w:rsidTr="00F86405">
        <w:trPr>
          <w:trHeight w:val="20"/>
          <w:jc w:val="center"/>
        </w:trPr>
        <w:tc>
          <w:tcPr>
            <w:tcW w:w="790" w:type="pct"/>
            <w:vMerge/>
            <w:tcBorders>
              <w:left w:val="single" w:sz="12" w:space="0" w:color="auto"/>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p>
        </w:tc>
        <w:tc>
          <w:tcPr>
            <w:tcW w:w="493" w:type="pct"/>
            <w:tcBorders>
              <w:top w:val="nil"/>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sidRPr="0096181F">
              <w:rPr>
                <w:rFonts w:hint="eastAsia"/>
                <w:kern w:val="0"/>
                <w:szCs w:val="21"/>
              </w:rPr>
              <w:t>柴油</w:t>
            </w:r>
          </w:p>
        </w:tc>
        <w:tc>
          <w:tcPr>
            <w:tcW w:w="687" w:type="pct"/>
            <w:tcBorders>
              <w:top w:val="nil"/>
              <w:left w:val="nil"/>
              <w:bottom w:val="single" w:sz="4"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Pr>
                <w:kern w:val="0"/>
                <w:szCs w:val="21"/>
              </w:rPr>
              <w:t>1500</w:t>
            </w:r>
          </w:p>
        </w:tc>
        <w:tc>
          <w:tcPr>
            <w:tcW w:w="3030" w:type="pct"/>
            <w:gridSpan w:val="3"/>
            <w:vMerge/>
            <w:tcBorders>
              <w:left w:val="nil"/>
              <w:bottom w:val="single" w:sz="4" w:space="0" w:color="auto"/>
              <w:right w:val="single" w:sz="12" w:space="0" w:color="auto"/>
            </w:tcBorders>
            <w:shd w:val="clear" w:color="auto" w:fill="auto"/>
            <w:vAlign w:val="center"/>
          </w:tcPr>
          <w:p w:rsidR="00F86405" w:rsidRPr="0096181F" w:rsidRDefault="00F86405" w:rsidP="00FC0275">
            <w:pPr>
              <w:widowControl/>
              <w:jc w:val="center"/>
              <w:rPr>
                <w:kern w:val="0"/>
                <w:szCs w:val="21"/>
              </w:rPr>
            </w:pPr>
          </w:p>
        </w:tc>
      </w:tr>
      <w:tr w:rsidR="00F86405" w:rsidRPr="0096181F" w:rsidTr="00F86405">
        <w:trPr>
          <w:trHeight w:val="20"/>
          <w:jc w:val="center"/>
        </w:trPr>
        <w:tc>
          <w:tcPr>
            <w:tcW w:w="1283"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sidRPr="0096181F">
              <w:rPr>
                <w:kern w:val="0"/>
                <w:szCs w:val="21"/>
              </w:rPr>
              <w:t>合计</w:t>
            </w:r>
          </w:p>
        </w:tc>
        <w:tc>
          <w:tcPr>
            <w:tcW w:w="687" w:type="pct"/>
            <w:tcBorders>
              <w:top w:val="nil"/>
              <w:left w:val="nil"/>
              <w:bottom w:val="single" w:sz="12"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Pr>
                <w:kern w:val="0"/>
                <w:szCs w:val="21"/>
              </w:rPr>
              <w:t>4000</w:t>
            </w:r>
          </w:p>
        </w:tc>
        <w:tc>
          <w:tcPr>
            <w:tcW w:w="1081" w:type="pct"/>
            <w:tcBorders>
              <w:top w:val="nil"/>
              <w:left w:val="nil"/>
              <w:bottom w:val="single" w:sz="12" w:space="0" w:color="auto"/>
              <w:right w:val="single" w:sz="4" w:space="0" w:color="auto"/>
            </w:tcBorders>
            <w:shd w:val="clear" w:color="auto" w:fill="auto"/>
            <w:vAlign w:val="center"/>
          </w:tcPr>
          <w:p w:rsidR="00F86405" w:rsidRPr="0096181F" w:rsidRDefault="00F86405" w:rsidP="00FC0275">
            <w:pPr>
              <w:widowControl/>
              <w:jc w:val="center"/>
              <w:rPr>
                <w:kern w:val="0"/>
                <w:szCs w:val="21"/>
              </w:rPr>
            </w:pPr>
            <w:r w:rsidRPr="00762280">
              <w:rPr>
                <w:kern w:val="0"/>
                <w:szCs w:val="21"/>
              </w:rPr>
              <w:t>3410</w:t>
            </w:r>
          </w:p>
        </w:tc>
        <w:tc>
          <w:tcPr>
            <w:tcW w:w="785" w:type="pct"/>
            <w:tcBorders>
              <w:top w:val="nil"/>
              <w:left w:val="nil"/>
              <w:bottom w:val="single" w:sz="12" w:space="0" w:color="auto"/>
              <w:right w:val="single" w:sz="4" w:space="0" w:color="auto"/>
            </w:tcBorders>
            <w:shd w:val="clear" w:color="auto" w:fill="auto"/>
            <w:vAlign w:val="bottom"/>
          </w:tcPr>
          <w:p w:rsidR="00F86405" w:rsidRPr="0096181F" w:rsidRDefault="00F86405" w:rsidP="00FC0275">
            <w:pPr>
              <w:widowControl/>
              <w:jc w:val="center"/>
              <w:rPr>
                <w:kern w:val="0"/>
                <w:szCs w:val="21"/>
              </w:rPr>
            </w:pPr>
            <w:r>
              <w:rPr>
                <w:rFonts w:hint="eastAsia"/>
                <w:kern w:val="0"/>
                <w:szCs w:val="21"/>
              </w:rPr>
              <w:t>/</w:t>
            </w:r>
          </w:p>
        </w:tc>
        <w:tc>
          <w:tcPr>
            <w:tcW w:w="1164" w:type="pct"/>
            <w:tcBorders>
              <w:top w:val="nil"/>
              <w:left w:val="nil"/>
              <w:bottom w:val="single" w:sz="12" w:space="0" w:color="auto"/>
              <w:right w:val="single" w:sz="12" w:space="0" w:color="auto"/>
            </w:tcBorders>
            <w:shd w:val="clear" w:color="auto" w:fill="auto"/>
            <w:vAlign w:val="center"/>
          </w:tcPr>
          <w:p w:rsidR="00F86405" w:rsidRPr="0096181F" w:rsidRDefault="00F86405" w:rsidP="00FC0275">
            <w:pPr>
              <w:widowControl/>
              <w:jc w:val="center"/>
              <w:rPr>
                <w:kern w:val="0"/>
                <w:szCs w:val="21"/>
              </w:rPr>
            </w:pPr>
            <w:r w:rsidRPr="003C4937">
              <w:rPr>
                <w:kern w:val="0"/>
                <w:szCs w:val="21"/>
              </w:rPr>
              <w:t>277.3</w:t>
            </w:r>
            <w:r>
              <w:rPr>
                <w:kern w:val="0"/>
                <w:szCs w:val="21"/>
              </w:rPr>
              <w:t>8</w:t>
            </w:r>
          </w:p>
        </w:tc>
      </w:tr>
    </w:tbl>
    <w:p w:rsidR="00EA115E" w:rsidRPr="005E47D1" w:rsidRDefault="00EA115E" w:rsidP="005E47D1">
      <w:pPr>
        <w:pStyle w:val="a7"/>
        <w:spacing w:line="360" w:lineRule="auto"/>
        <w:ind w:firstLine="482"/>
        <w:jc w:val="both"/>
        <w:rPr>
          <w:rFonts w:ascii="Times New Roman" w:hAnsi="Times New Roman" w:cs="Times New Roman"/>
        </w:rPr>
      </w:pPr>
      <w:r w:rsidRPr="005E47D1">
        <w:rPr>
          <w:rFonts w:ascii="Times New Roman" w:hAnsi="Times New Roman" w:cs="Times New Roman"/>
        </w:rPr>
        <w:lastRenderedPageBreak/>
        <w:t>（</w:t>
      </w:r>
      <w:r w:rsidRPr="005E47D1">
        <w:rPr>
          <w:rFonts w:ascii="Times New Roman" w:hAnsi="Times New Roman" w:cs="Times New Roman"/>
        </w:rPr>
        <w:t>2</w:t>
      </w:r>
      <w:r w:rsidRPr="005E47D1">
        <w:rPr>
          <w:rFonts w:ascii="Times New Roman" w:hAnsi="Times New Roman" w:cs="Times New Roman"/>
        </w:rPr>
        <w:t>）废水污染源强分析</w:t>
      </w:r>
    </w:p>
    <w:p w:rsidR="00EA115E" w:rsidRPr="005E47D1" w:rsidRDefault="00EA115E" w:rsidP="005E47D1">
      <w:pPr>
        <w:pStyle w:val="a7"/>
        <w:spacing w:line="360" w:lineRule="auto"/>
        <w:ind w:firstLine="482"/>
        <w:jc w:val="both"/>
        <w:rPr>
          <w:rFonts w:ascii="Times New Roman" w:hAnsi="Times New Roman" w:cs="Times New Roman"/>
        </w:rPr>
      </w:pPr>
      <w:r w:rsidRPr="005E47D1">
        <w:rPr>
          <w:rFonts w:ascii="Times New Roman" w:hAnsi="Times New Roman" w:cs="Times New Roman"/>
        </w:rPr>
        <w:t>本项目生活污水排放量为</w:t>
      </w:r>
      <w:r w:rsidR="00F86405" w:rsidRPr="00F86405">
        <w:rPr>
          <w:rFonts w:ascii="Times New Roman" w:eastAsia="宋体" w:hAnsi="Times New Roman" w:cs="Times New Roman"/>
          <w:szCs w:val="22"/>
        </w:rPr>
        <w:t>0.84</w:t>
      </w:r>
      <w:r w:rsidR="00F86405" w:rsidRPr="00F86405">
        <w:rPr>
          <w:rFonts w:ascii="Times New Roman" w:eastAsia="宋体" w:hAnsi="Times New Roman" w:cs="Times New Roman" w:hint="eastAsia"/>
          <w:szCs w:val="22"/>
        </w:rPr>
        <w:t>m</w:t>
      </w:r>
      <w:r w:rsidR="00F86405" w:rsidRPr="00F86405">
        <w:rPr>
          <w:rFonts w:ascii="Times New Roman" w:eastAsia="宋体" w:hAnsi="Times New Roman" w:cs="Times New Roman" w:hint="eastAsia"/>
          <w:szCs w:val="22"/>
          <w:vertAlign w:val="superscript"/>
        </w:rPr>
        <w:t>3</w:t>
      </w:r>
      <w:r w:rsidR="00F86405" w:rsidRPr="00F86405">
        <w:rPr>
          <w:rFonts w:ascii="Times New Roman" w:eastAsia="宋体" w:hAnsi="Times New Roman" w:cs="Times New Roman" w:hint="eastAsia"/>
          <w:szCs w:val="22"/>
        </w:rPr>
        <w:t>/d</w:t>
      </w:r>
      <w:r w:rsidR="00F86405" w:rsidRPr="00F86405">
        <w:rPr>
          <w:rFonts w:ascii="Times New Roman" w:eastAsia="宋体" w:hAnsi="Times New Roman" w:cs="Times New Roman" w:hint="eastAsia"/>
          <w:szCs w:val="22"/>
        </w:rPr>
        <w:t>（</w:t>
      </w:r>
      <w:r w:rsidR="00F86405" w:rsidRPr="00F86405">
        <w:rPr>
          <w:rFonts w:ascii="Times New Roman" w:eastAsia="宋体" w:hAnsi="Times New Roman" w:cs="Times New Roman"/>
          <w:szCs w:val="22"/>
        </w:rPr>
        <w:t>306.6</w:t>
      </w:r>
      <w:r w:rsidR="00F86405" w:rsidRPr="00F86405">
        <w:rPr>
          <w:rFonts w:ascii="Times New Roman" w:eastAsia="宋体" w:hAnsi="Times New Roman" w:cs="Times New Roman" w:hint="eastAsia"/>
          <w:szCs w:val="22"/>
        </w:rPr>
        <w:t>m</w:t>
      </w:r>
      <w:r w:rsidR="00F86405" w:rsidRPr="00F86405">
        <w:rPr>
          <w:rFonts w:ascii="Times New Roman" w:eastAsia="宋体" w:hAnsi="Times New Roman" w:cs="Times New Roman" w:hint="eastAsia"/>
          <w:szCs w:val="22"/>
          <w:vertAlign w:val="superscript"/>
        </w:rPr>
        <w:t>3</w:t>
      </w:r>
      <w:r w:rsidR="00F86405" w:rsidRPr="00F86405">
        <w:rPr>
          <w:rFonts w:ascii="Times New Roman" w:eastAsia="宋体" w:hAnsi="Times New Roman" w:cs="Times New Roman" w:hint="eastAsia"/>
          <w:szCs w:val="22"/>
        </w:rPr>
        <w:t>/a</w:t>
      </w:r>
      <w:r w:rsidR="00F86405" w:rsidRPr="00F86405">
        <w:rPr>
          <w:rFonts w:ascii="Times New Roman" w:eastAsia="宋体" w:hAnsi="Times New Roman" w:cs="Times New Roman" w:hint="eastAsia"/>
          <w:szCs w:val="22"/>
        </w:rPr>
        <w:t>）</w:t>
      </w:r>
      <w:r w:rsidRPr="005E47D1">
        <w:rPr>
          <w:rFonts w:ascii="Times New Roman" w:hAnsi="Times New Roman" w:cs="Times New Roman"/>
        </w:rPr>
        <w:t>，</w:t>
      </w:r>
      <w:r w:rsidR="00097E70" w:rsidRPr="0096181F">
        <w:t>经化粪池处理达到《污水综合排放标准》（</w:t>
      </w:r>
      <w:r w:rsidR="00097E70" w:rsidRPr="0096181F">
        <w:t>GB8978-1996</w:t>
      </w:r>
      <w:r w:rsidR="00097E70" w:rsidRPr="0096181F">
        <w:t>）中的三级标准</w:t>
      </w:r>
      <w:r w:rsidR="00097E70" w:rsidRPr="0096181F">
        <w:rPr>
          <w:rFonts w:hint="eastAsia"/>
        </w:rPr>
        <w:t>后纳入</w:t>
      </w:r>
      <w:r w:rsidR="00097E70" w:rsidRPr="0096181F">
        <w:rPr>
          <w:rFonts w:hint="eastAsia"/>
          <w:lang w:bidi="en-US"/>
        </w:rPr>
        <w:t>市政污水管网</w:t>
      </w:r>
      <w:r w:rsidR="00097E70" w:rsidRPr="0096181F">
        <w:t>，</w:t>
      </w:r>
      <w:bookmarkStart w:id="22" w:name="_Hlk10639268"/>
      <w:r w:rsidR="00097E70" w:rsidRPr="0096181F">
        <w:t>最终经</w:t>
      </w:r>
      <w:r w:rsidR="00097E70">
        <w:t>岩东污水处理厂</w:t>
      </w:r>
      <w:r w:rsidR="00097E70" w:rsidRPr="0096181F">
        <w:t>处理达标后</w:t>
      </w:r>
      <w:r w:rsidR="00097E70">
        <w:t>排海</w:t>
      </w:r>
      <w:bookmarkEnd w:id="22"/>
      <w:r w:rsidRPr="005E47D1">
        <w:rPr>
          <w:rFonts w:ascii="Times New Roman" w:hAnsi="Times New Roman" w:cs="Times New Roman"/>
        </w:rPr>
        <w:t>。</w:t>
      </w:r>
    </w:p>
    <w:p w:rsidR="00EA115E" w:rsidRPr="005E47D1" w:rsidRDefault="00EA115E" w:rsidP="005E47D1">
      <w:pPr>
        <w:pStyle w:val="a7"/>
        <w:spacing w:line="360" w:lineRule="auto"/>
        <w:ind w:firstLine="482"/>
        <w:jc w:val="both"/>
        <w:rPr>
          <w:rFonts w:ascii="Times New Roman" w:hAnsi="Times New Roman" w:cs="Times New Roman"/>
        </w:rPr>
      </w:pPr>
      <w:r w:rsidRPr="005E47D1">
        <w:rPr>
          <w:rFonts w:ascii="Times New Roman" w:hAnsi="Times New Roman" w:cs="Times New Roman"/>
        </w:rPr>
        <w:t>（</w:t>
      </w:r>
      <w:r w:rsidRPr="005E47D1">
        <w:rPr>
          <w:rFonts w:ascii="Times New Roman" w:hAnsi="Times New Roman" w:cs="Times New Roman"/>
        </w:rPr>
        <w:t>3</w:t>
      </w:r>
      <w:r w:rsidRPr="005E47D1">
        <w:rPr>
          <w:rFonts w:ascii="Times New Roman" w:hAnsi="Times New Roman" w:cs="Times New Roman"/>
        </w:rPr>
        <w:t>）噪声污染源强分析</w:t>
      </w:r>
    </w:p>
    <w:p w:rsidR="005E47D1" w:rsidRPr="005E47D1" w:rsidRDefault="005E47D1" w:rsidP="005E47D1">
      <w:pPr>
        <w:spacing w:line="360" w:lineRule="auto"/>
        <w:ind w:firstLine="482"/>
        <w:rPr>
          <w:rFonts w:eastAsiaTheme="minorEastAsia"/>
          <w:bCs/>
          <w:sz w:val="24"/>
        </w:rPr>
      </w:pPr>
      <w:r w:rsidRPr="005E47D1">
        <w:rPr>
          <w:rFonts w:eastAsiaTheme="minorEastAsia"/>
          <w:sz w:val="24"/>
        </w:rPr>
        <w:t>本项目噪声主要为加油机等设备噪声以及加油车辆进出产生的交通噪声，</w:t>
      </w:r>
      <w:r w:rsidRPr="005E47D1">
        <w:rPr>
          <w:rFonts w:eastAsiaTheme="minorEastAsia"/>
          <w:bCs/>
          <w:sz w:val="24"/>
        </w:rPr>
        <w:t>详</w:t>
      </w:r>
      <w:r w:rsidRPr="005E47D1">
        <w:rPr>
          <w:rFonts w:eastAsiaTheme="minorEastAsia"/>
          <w:sz w:val="24"/>
        </w:rPr>
        <w:t>见表</w:t>
      </w:r>
      <w:r w:rsidRPr="005E47D1">
        <w:rPr>
          <w:rFonts w:eastAsiaTheme="minorEastAsia"/>
          <w:sz w:val="24"/>
        </w:rPr>
        <w:t>2</w:t>
      </w:r>
      <w:r w:rsidRPr="005E47D1">
        <w:rPr>
          <w:rFonts w:eastAsiaTheme="minorEastAsia"/>
          <w:sz w:val="24"/>
        </w:rPr>
        <w:t>。</w:t>
      </w:r>
    </w:p>
    <w:p w:rsidR="005E47D1" w:rsidRPr="00563BC6" w:rsidRDefault="005E47D1" w:rsidP="005E47D1">
      <w:pPr>
        <w:jc w:val="center"/>
        <w:rPr>
          <w:b/>
          <w:szCs w:val="21"/>
        </w:rPr>
      </w:pPr>
      <w:r w:rsidRPr="00563BC6">
        <w:rPr>
          <w:rFonts w:hAnsi="宋体"/>
          <w:b/>
          <w:szCs w:val="21"/>
        </w:rPr>
        <w:t>表</w:t>
      </w:r>
      <w:r>
        <w:rPr>
          <w:b/>
          <w:szCs w:val="21"/>
        </w:rPr>
        <w:t>2</w:t>
      </w:r>
      <w:r w:rsidRPr="00563BC6">
        <w:rPr>
          <w:b/>
          <w:szCs w:val="21"/>
        </w:rPr>
        <w:t xml:space="preserve">  </w:t>
      </w:r>
      <w:r>
        <w:rPr>
          <w:rFonts w:hAnsi="宋体" w:hint="eastAsia"/>
          <w:b/>
          <w:szCs w:val="21"/>
        </w:rPr>
        <w:t>本</w:t>
      </w:r>
      <w:r w:rsidRPr="00563BC6">
        <w:rPr>
          <w:rFonts w:hAnsi="宋体"/>
          <w:b/>
          <w:szCs w:val="21"/>
        </w:rPr>
        <w:t>项目主要噪声源强</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2896"/>
        <w:gridCol w:w="1986"/>
        <w:gridCol w:w="1956"/>
      </w:tblGrid>
      <w:tr w:rsidR="005E47D1" w:rsidRPr="00563BC6" w:rsidTr="00097E70">
        <w:trPr>
          <w:trHeight w:val="340"/>
          <w:jc w:val="center"/>
        </w:trPr>
        <w:tc>
          <w:tcPr>
            <w:tcW w:w="1100" w:type="dxa"/>
            <w:vAlign w:val="center"/>
          </w:tcPr>
          <w:p w:rsidR="005E47D1" w:rsidRPr="00563BC6" w:rsidRDefault="005E47D1" w:rsidP="006E1D05">
            <w:pPr>
              <w:pStyle w:val="a9"/>
              <w:snapToGrid/>
              <w:rPr>
                <w:rFonts w:ascii="Times New Roman" w:eastAsia="宋体" w:hAnsi="Times New Roman"/>
                <w:sz w:val="21"/>
                <w:szCs w:val="21"/>
              </w:rPr>
            </w:pPr>
            <w:r w:rsidRPr="00563BC6">
              <w:rPr>
                <w:rFonts w:ascii="Times New Roman" w:eastAsia="宋体" w:hAnsi="Times New Roman"/>
                <w:sz w:val="21"/>
                <w:szCs w:val="21"/>
              </w:rPr>
              <w:t>序号</w:t>
            </w:r>
          </w:p>
        </w:tc>
        <w:tc>
          <w:tcPr>
            <w:tcW w:w="2896" w:type="dxa"/>
            <w:vAlign w:val="center"/>
          </w:tcPr>
          <w:p w:rsidR="005E47D1" w:rsidRPr="00563BC6" w:rsidRDefault="005E47D1" w:rsidP="006E1D05">
            <w:pPr>
              <w:jc w:val="center"/>
              <w:rPr>
                <w:szCs w:val="21"/>
              </w:rPr>
            </w:pPr>
            <w:r w:rsidRPr="00563BC6">
              <w:rPr>
                <w:szCs w:val="21"/>
              </w:rPr>
              <w:t>噪声源</w:t>
            </w:r>
          </w:p>
        </w:tc>
        <w:tc>
          <w:tcPr>
            <w:tcW w:w="1986" w:type="dxa"/>
            <w:vAlign w:val="center"/>
          </w:tcPr>
          <w:p w:rsidR="005E47D1" w:rsidRPr="00563BC6" w:rsidRDefault="005E47D1" w:rsidP="006E1D05">
            <w:pPr>
              <w:jc w:val="center"/>
              <w:rPr>
                <w:szCs w:val="21"/>
              </w:rPr>
            </w:pPr>
            <w:r w:rsidRPr="00563BC6">
              <w:rPr>
                <w:szCs w:val="21"/>
              </w:rPr>
              <w:t>噪声源强度（</w:t>
            </w:r>
            <w:r w:rsidRPr="00563BC6">
              <w:rPr>
                <w:szCs w:val="21"/>
              </w:rPr>
              <w:t>dB</w:t>
            </w:r>
            <w:r w:rsidRPr="00563BC6">
              <w:rPr>
                <w:szCs w:val="21"/>
              </w:rPr>
              <w:t>）</w:t>
            </w:r>
          </w:p>
        </w:tc>
        <w:tc>
          <w:tcPr>
            <w:tcW w:w="1956" w:type="dxa"/>
            <w:vAlign w:val="center"/>
          </w:tcPr>
          <w:p w:rsidR="005E47D1" w:rsidRPr="00563BC6" w:rsidRDefault="005E47D1" w:rsidP="006E1D05">
            <w:pPr>
              <w:jc w:val="center"/>
              <w:rPr>
                <w:szCs w:val="21"/>
              </w:rPr>
            </w:pPr>
            <w:r w:rsidRPr="00563BC6">
              <w:rPr>
                <w:szCs w:val="21"/>
              </w:rPr>
              <w:t>备注</w:t>
            </w:r>
          </w:p>
        </w:tc>
      </w:tr>
      <w:tr w:rsidR="005E47D1" w:rsidRPr="00563BC6" w:rsidTr="00097E70">
        <w:trPr>
          <w:trHeight w:val="340"/>
          <w:jc w:val="center"/>
        </w:trPr>
        <w:tc>
          <w:tcPr>
            <w:tcW w:w="1100" w:type="dxa"/>
            <w:vAlign w:val="center"/>
          </w:tcPr>
          <w:p w:rsidR="005E47D1" w:rsidRPr="00563BC6" w:rsidRDefault="00097E70" w:rsidP="006E1D05">
            <w:pPr>
              <w:jc w:val="center"/>
              <w:rPr>
                <w:szCs w:val="21"/>
              </w:rPr>
            </w:pPr>
            <w:r>
              <w:rPr>
                <w:szCs w:val="21"/>
              </w:rPr>
              <w:t>1</w:t>
            </w:r>
          </w:p>
        </w:tc>
        <w:tc>
          <w:tcPr>
            <w:tcW w:w="2896" w:type="dxa"/>
            <w:vAlign w:val="center"/>
          </w:tcPr>
          <w:p w:rsidR="005E47D1" w:rsidRPr="00563BC6" w:rsidRDefault="005E47D1" w:rsidP="006E1D05">
            <w:pPr>
              <w:adjustRightInd w:val="0"/>
              <w:snapToGrid w:val="0"/>
              <w:jc w:val="center"/>
              <w:rPr>
                <w:kern w:val="0"/>
                <w:szCs w:val="21"/>
                <w:lang w:val="zh-CN"/>
              </w:rPr>
            </w:pPr>
            <w:r w:rsidRPr="00563BC6">
              <w:rPr>
                <w:kern w:val="0"/>
                <w:szCs w:val="21"/>
                <w:lang w:val="zh-CN"/>
              </w:rPr>
              <w:t>加油机</w:t>
            </w:r>
          </w:p>
        </w:tc>
        <w:tc>
          <w:tcPr>
            <w:tcW w:w="1986" w:type="dxa"/>
            <w:vAlign w:val="center"/>
          </w:tcPr>
          <w:p w:rsidR="005E47D1" w:rsidRPr="00563BC6" w:rsidRDefault="005E47D1" w:rsidP="006E1D05">
            <w:pPr>
              <w:pStyle w:val="a9"/>
              <w:snapToGrid/>
              <w:rPr>
                <w:rFonts w:ascii="Times New Roman" w:eastAsia="宋体" w:hAnsi="Times New Roman"/>
                <w:sz w:val="21"/>
                <w:szCs w:val="21"/>
              </w:rPr>
            </w:pPr>
            <w:r w:rsidRPr="00563BC6">
              <w:rPr>
                <w:rFonts w:ascii="Times New Roman" w:eastAsia="宋体" w:hAnsi="Times New Roman"/>
                <w:sz w:val="21"/>
                <w:szCs w:val="21"/>
              </w:rPr>
              <w:t>65</w:t>
            </w:r>
          </w:p>
        </w:tc>
        <w:tc>
          <w:tcPr>
            <w:tcW w:w="1956" w:type="dxa"/>
            <w:vMerge w:val="restart"/>
            <w:vAlign w:val="center"/>
          </w:tcPr>
          <w:p w:rsidR="005E47D1" w:rsidRPr="00563BC6" w:rsidRDefault="005E47D1" w:rsidP="006E1D05">
            <w:pPr>
              <w:pStyle w:val="a9"/>
              <w:snapToGrid/>
              <w:rPr>
                <w:rFonts w:ascii="Times New Roman" w:eastAsia="宋体" w:hAnsi="Times New Roman"/>
                <w:sz w:val="21"/>
                <w:szCs w:val="21"/>
              </w:rPr>
            </w:pPr>
          </w:p>
        </w:tc>
      </w:tr>
      <w:tr w:rsidR="005E47D1" w:rsidRPr="00563BC6" w:rsidTr="00097E70">
        <w:trPr>
          <w:trHeight w:val="340"/>
          <w:jc w:val="center"/>
        </w:trPr>
        <w:tc>
          <w:tcPr>
            <w:tcW w:w="1100" w:type="dxa"/>
            <w:vAlign w:val="center"/>
          </w:tcPr>
          <w:p w:rsidR="005E47D1" w:rsidRPr="00563BC6" w:rsidRDefault="00097E70" w:rsidP="006E1D05">
            <w:pPr>
              <w:jc w:val="center"/>
              <w:rPr>
                <w:szCs w:val="21"/>
              </w:rPr>
            </w:pPr>
            <w:r>
              <w:rPr>
                <w:szCs w:val="21"/>
              </w:rPr>
              <w:t>2</w:t>
            </w:r>
          </w:p>
        </w:tc>
        <w:tc>
          <w:tcPr>
            <w:tcW w:w="2896" w:type="dxa"/>
            <w:vAlign w:val="center"/>
          </w:tcPr>
          <w:p w:rsidR="005E47D1" w:rsidRPr="00563BC6" w:rsidRDefault="005E47D1" w:rsidP="006E1D05">
            <w:pPr>
              <w:adjustRightInd w:val="0"/>
              <w:snapToGrid w:val="0"/>
              <w:jc w:val="center"/>
              <w:rPr>
                <w:szCs w:val="21"/>
              </w:rPr>
            </w:pPr>
            <w:r w:rsidRPr="00563BC6">
              <w:rPr>
                <w:spacing w:val="-2"/>
                <w:szCs w:val="21"/>
              </w:rPr>
              <w:t>加油车辆进出交通噪声</w:t>
            </w:r>
          </w:p>
        </w:tc>
        <w:tc>
          <w:tcPr>
            <w:tcW w:w="1986" w:type="dxa"/>
            <w:vAlign w:val="center"/>
          </w:tcPr>
          <w:p w:rsidR="005E47D1" w:rsidRPr="00563BC6" w:rsidRDefault="005E47D1" w:rsidP="006E1D05">
            <w:pPr>
              <w:pStyle w:val="a9"/>
              <w:snapToGrid/>
              <w:rPr>
                <w:rFonts w:ascii="Times New Roman" w:eastAsia="宋体" w:hAnsi="Times New Roman"/>
                <w:sz w:val="21"/>
                <w:szCs w:val="21"/>
              </w:rPr>
            </w:pPr>
            <w:r w:rsidRPr="00563BC6">
              <w:rPr>
                <w:rFonts w:ascii="Times New Roman" w:eastAsia="宋体" w:hAnsi="Times New Roman"/>
                <w:sz w:val="21"/>
                <w:szCs w:val="21"/>
              </w:rPr>
              <w:t>70</w:t>
            </w:r>
          </w:p>
        </w:tc>
        <w:tc>
          <w:tcPr>
            <w:tcW w:w="1956" w:type="dxa"/>
            <w:vMerge/>
            <w:vAlign w:val="center"/>
          </w:tcPr>
          <w:p w:rsidR="005E47D1" w:rsidRPr="00563BC6" w:rsidRDefault="005E47D1" w:rsidP="006E1D05">
            <w:pPr>
              <w:pStyle w:val="a9"/>
              <w:snapToGrid/>
              <w:rPr>
                <w:rFonts w:ascii="Times New Roman" w:eastAsia="宋体" w:hAnsi="Times New Roman"/>
                <w:sz w:val="21"/>
                <w:szCs w:val="21"/>
              </w:rPr>
            </w:pPr>
          </w:p>
        </w:tc>
      </w:tr>
    </w:tbl>
    <w:p w:rsidR="00EA115E" w:rsidRDefault="00EA115E" w:rsidP="005E47D1">
      <w:pPr>
        <w:pStyle w:val="a7"/>
        <w:spacing w:beforeLines="50" w:before="120" w:line="360" w:lineRule="auto"/>
        <w:ind w:firstLineChars="200"/>
        <w:jc w:val="both"/>
      </w:pPr>
      <w:r>
        <w:rPr>
          <w:rFonts w:hint="eastAsia"/>
        </w:rPr>
        <w:t>（</w:t>
      </w:r>
      <w:r>
        <w:rPr>
          <w:rFonts w:hint="eastAsia"/>
        </w:rPr>
        <w:t>4</w:t>
      </w:r>
      <w:r>
        <w:rPr>
          <w:rFonts w:hint="eastAsia"/>
        </w:rPr>
        <w:t>）固体废物</w:t>
      </w:r>
      <w:r w:rsidRPr="006D4B35">
        <w:rPr>
          <w:rFonts w:hint="eastAsia"/>
        </w:rPr>
        <w:t>污染源强分析</w:t>
      </w:r>
    </w:p>
    <w:p w:rsidR="005E47D1" w:rsidRPr="00563BC6" w:rsidRDefault="005E47D1" w:rsidP="005E47D1">
      <w:pPr>
        <w:spacing w:line="360" w:lineRule="auto"/>
        <w:ind w:firstLineChars="200" w:firstLine="472"/>
        <w:rPr>
          <w:rFonts w:hAnsi="宋体"/>
          <w:sz w:val="24"/>
        </w:rPr>
      </w:pPr>
      <w:r>
        <w:rPr>
          <w:rFonts w:hAnsi="宋体" w:hint="eastAsia"/>
          <w:spacing w:val="-2"/>
          <w:sz w:val="24"/>
        </w:rPr>
        <w:t>本</w:t>
      </w:r>
      <w:r w:rsidRPr="00563BC6">
        <w:rPr>
          <w:rFonts w:hAnsi="宋体"/>
          <w:spacing w:val="-2"/>
          <w:sz w:val="24"/>
        </w:rPr>
        <w:t>项目固废</w:t>
      </w:r>
      <w:r w:rsidRPr="00563BC6">
        <w:rPr>
          <w:rFonts w:hAnsi="宋体"/>
          <w:sz w:val="24"/>
        </w:rPr>
        <w:t>主要为</w:t>
      </w:r>
      <w:r w:rsidRPr="00563BC6">
        <w:rPr>
          <w:rFonts w:hAnsi="宋体" w:hint="eastAsia"/>
          <w:sz w:val="24"/>
        </w:rPr>
        <w:t>储油</w:t>
      </w:r>
      <w:r w:rsidRPr="00563BC6">
        <w:rPr>
          <w:rFonts w:hAnsi="宋体"/>
          <w:sz w:val="24"/>
        </w:rPr>
        <w:t>罐定期清理产生的</w:t>
      </w:r>
      <w:r w:rsidRPr="00563BC6">
        <w:rPr>
          <w:rFonts w:hAnsi="宋体" w:hint="eastAsia"/>
          <w:sz w:val="24"/>
        </w:rPr>
        <w:t>废油</w:t>
      </w:r>
      <w:r>
        <w:rPr>
          <w:rFonts w:hAnsi="宋体" w:hint="eastAsia"/>
          <w:sz w:val="24"/>
        </w:rPr>
        <w:t>及废渣和</w:t>
      </w:r>
      <w:r w:rsidRPr="00563BC6">
        <w:rPr>
          <w:rFonts w:hAnsi="宋体" w:hint="eastAsia"/>
          <w:sz w:val="24"/>
        </w:rPr>
        <w:t>职工生活垃圾。</w:t>
      </w:r>
    </w:p>
    <w:p w:rsidR="00097E70" w:rsidRPr="00D06577" w:rsidRDefault="00097E70" w:rsidP="00097E70">
      <w:pPr>
        <w:pStyle w:val="aa"/>
        <w:ind w:firstLine="480"/>
        <w:rPr>
          <w:lang w:val="x-none"/>
        </w:rPr>
      </w:pPr>
      <w:r w:rsidRPr="00D06577">
        <w:rPr>
          <w:rFonts w:ascii="宋体" w:hAnsi="宋体" w:cs="宋体" w:hint="eastAsia"/>
          <w:kern w:val="0"/>
          <w:szCs w:val="21"/>
        </w:rPr>
        <w:t>（</w:t>
      </w:r>
      <w:r w:rsidRPr="00D06577">
        <w:rPr>
          <w:rFonts w:ascii="宋体" w:hAnsi="宋体" w:cs="宋体"/>
          <w:kern w:val="0"/>
          <w:szCs w:val="21"/>
        </w:rPr>
        <w:t>1</w:t>
      </w:r>
      <w:r w:rsidRPr="00D06577">
        <w:rPr>
          <w:rFonts w:ascii="宋体" w:hAnsi="宋体" w:cs="宋体" w:hint="eastAsia"/>
          <w:kern w:val="0"/>
          <w:szCs w:val="21"/>
        </w:rPr>
        <w:t>）</w:t>
      </w:r>
      <w:r w:rsidRPr="00D06577">
        <w:rPr>
          <w:rFonts w:cs="Times New Roman" w:hint="eastAsia"/>
          <w:kern w:val="0"/>
          <w:szCs w:val="21"/>
        </w:rPr>
        <w:t>清罐废油渣（</w:t>
      </w:r>
      <w:r w:rsidRPr="00D06577">
        <w:rPr>
          <w:rFonts w:cs="Times New Roman" w:hint="eastAsia"/>
          <w:kern w:val="0"/>
          <w:szCs w:val="21"/>
        </w:rPr>
        <w:t>S</w:t>
      </w:r>
      <w:r w:rsidRPr="00D06577">
        <w:rPr>
          <w:rFonts w:cs="Times New Roman"/>
          <w:kern w:val="0"/>
          <w:szCs w:val="21"/>
        </w:rPr>
        <w:t>1</w:t>
      </w:r>
      <w:r w:rsidRPr="00D06577">
        <w:rPr>
          <w:rFonts w:cs="Times New Roman" w:hint="eastAsia"/>
          <w:kern w:val="0"/>
          <w:szCs w:val="21"/>
        </w:rPr>
        <w:t>）：根据建设单位提供的资料，本项目每五年对储油罐实施一次清理，将清理出一定量的清罐废油渣，产生量约为</w:t>
      </w:r>
      <w:r w:rsidR="00F86405" w:rsidRPr="00F86405">
        <w:rPr>
          <w:rFonts w:cs="Times New Roman"/>
          <w:kern w:val="0"/>
          <w:szCs w:val="21"/>
        </w:rPr>
        <w:t>1.09</w:t>
      </w:r>
      <w:r w:rsidR="00F86405" w:rsidRPr="00F86405">
        <w:rPr>
          <w:rFonts w:cs="Times New Roman" w:hint="eastAsia"/>
          <w:kern w:val="0"/>
          <w:szCs w:val="21"/>
        </w:rPr>
        <w:t>吨</w:t>
      </w:r>
      <w:r w:rsidR="00F86405" w:rsidRPr="00F86405">
        <w:rPr>
          <w:rFonts w:cs="Times New Roman"/>
          <w:kern w:val="0"/>
          <w:szCs w:val="21"/>
        </w:rPr>
        <w:t>/</w:t>
      </w:r>
      <w:r w:rsidR="00F86405" w:rsidRPr="00F86405">
        <w:rPr>
          <w:rFonts w:cs="Times New Roman" w:hint="eastAsia"/>
          <w:kern w:val="0"/>
          <w:szCs w:val="21"/>
        </w:rPr>
        <w:t>五年（</w:t>
      </w:r>
      <w:r w:rsidR="00F86405" w:rsidRPr="00F86405">
        <w:rPr>
          <w:rFonts w:cs="Times New Roman"/>
          <w:kern w:val="0"/>
          <w:szCs w:val="21"/>
        </w:rPr>
        <w:t>0.218t/a</w:t>
      </w:r>
      <w:r w:rsidR="00F86405" w:rsidRPr="00F86405">
        <w:rPr>
          <w:rFonts w:cs="Times New Roman" w:hint="eastAsia"/>
          <w:kern w:val="0"/>
          <w:szCs w:val="21"/>
        </w:rPr>
        <w:t>）</w:t>
      </w:r>
      <w:r w:rsidRPr="00D06577">
        <w:rPr>
          <w:rFonts w:cs="Times New Roman" w:hint="eastAsia"/>
          <w:kern w:val="0"/>
          <w:szCs w:val="21"/>
        </w:rPr>
        <w:t>。根据《国家危险废物名录》（</w:t>
      </w:r>
      <w:r w:rsidRPr="00D06577">
        <w:rPr>
          <w:rFonts w:cs="Times New Roman" w:hint="eastAsia"/>
          <w:kern w:val="0"/>
          <w:szCs w:val="21"/>
        </w:rPr>
        <w:t>2</w:t>
      </w:r>
      <w:r w:rsidRPr="00D06577">
        <w:rPr>
          <w:rFonts w:cs="Times New Roman"/>
          <w:kern w:val="0"/>
          <w:szCs w:val="21"/>
        </w:rPr>
        <w:t>016</w:t>
      </w:r>
      <w:r w:rsidRPr="00D06577">
        <w:rPr>
          <w:rFonts w:cs="Times New Roman" w:hint="eastAsia"/>
          <w:kern w:val="0"/>
          <w:szCs w:val="21"/>
        </w:rPr>
        <w:t>），清罐废油渣属于危险废物，废物类别是</w:t>
      </w:r>
      <w:r w:rsidRPr="00D06577">
        <w:rPr>
          <w:rFonts w:cs="Times New Roman" w:hint="eastAsia"/>
          <w:kern w:val="0"/>
          <w:szCs w:val="21"/>
        </w:rPr>
        <w:t>HW</w:t>
      </w:r>
      <w:r w:rsidRPr="00D06577">
        <w:rPr>
          <w:rFonts w:cs="Times New Roman"/>
          <w:kern w:val="0"/>
          <w:szCs w:val="21"/>
        </w:rPr>
        <w:t>08</w:t>
      </w:r>
      <w:r w:rsidRPr="00D06577">
        <w:rPr>
          <w:rFonts w:cs="Times New Roman" w:hint="eastAsia"/>
          <w:kern w:val="0"/>
          <w:szCs w:val="21"/>
        </w:rPr>
        <w:t>，废物代码是</w:t>
      </w:r>
      <w:r w:rsidRPr="00D06577">
        <w:rPr>
          <w:rFonts w:cs="Times New Roman"/>
          <w:szCs w:val="24"/>
        </w:rPr>
        <w:t>251-001-08</w:t>
      </w:r>
      <w:r w:rsidRPr="00D06577">
        <w:rPr>
          <w:rFonts w:cs="Times New Roman" w:hint="eastAsia"/>
          <w:sz w:val="21"/>
          <w:szCs w:val="21"/>
        </w:rPr>
        <w:t>。</w:t>
      </w:r>
      <w:r w:rsidRPr="00D06577">
        <w:rPr>
          <w:rFonts w:hint="eastAsia"/>
          <w:lang w:val="x-none"/>
        </w:rPr>
        <w:t>根据企业提供资料，</w:t>
      </w:r>
      <w:r w:rsidRPr="00D06577">
        <w:rPr>
          <w:rFonts w:cs="Times New Roman" w:hint="eastAsia"/>
          <w:kern w:val="0"/>
          <w:szCs w:val="21"/>
        </w:rPr>
        <w:t>清罐废油渣</w:t>
      </w:r>
      <w:r w:rsidRPr="00D06577">
        <w:rPr>
          <w:rFonts w:hint="eastAsia"/>
          <w:lang w:val="x-none"/>
        </w:rPr>
        <w:t>在罐体清理后用专用固废罐收集，并在清罐结束后立即拉至三官堂油库，由三官堂油库委托宁波大地化工环保有限公司处置，场地内不设危废暂存仓库</w:t>
      </w:r>
      <w:r>
        <w:rPr>
          <w:rFonts w:hint="eastAsia"/>
          <w:lang w:val="x-none"/>
        </w:rPr>
        <w:t>。</w:t>
      </w:r>
    </w:p>
    <w:p w:rsidR="00097E70" w:rsidRPr="00D06577" w:rsidRDefault="00097E70" w:rsidP="00097E70">
      <w:pPr>
        <w:pStyle w:val="aa"/>
        <w:ind w:firstLine="480"/>
        <w:rPr>
          <w:rFonts w:cs="Times New Roman"/>
          <w:kern w:val="0"/>
          <w:szCs w:val="21"/>
        </w:rPr>
      </w:pPr>
      <w:r w:rsidRPr="00D06577">
        <w:rPr>
          <w:rFonts w:hint="eastAsia"/>
          <w:lang w:val="x-none"/>
        </w:rPr>
        <w:t>（</w:t>
      </w:r>
      <w:r w:rsidRPr="00D06577">
        <w:rPr>
          <w:rFonts w:hint="eastAsia"/>
          <w:lang w:val="x-none"/>
        </w:rPr>
        <w:t>2</w:t>
      </w:r>
      <w:r w:rsidRPr="00D06577">
        <w:rPr>
          <w:rFonts w:hint="eastAsia"/>
          <w:lang w:val="x-none"/>
        </w:rPr>
        <w:t>）</w:t>
      </w:r>
      <w:r w:rsidRPr="00D06577">
        <w:rPr>
          <w:rFonts w:cs="Times New Roman" w:hint="eastAsia"/>
          <w:kern w:val="0"/>
          <w:szCs w:val="21"/>
        </w:rPr>
        <w:t>隔油池油泥（</w:t>
      </w:r>
      <w:r w:rsidRPr="00D06577">
        <w:rPr>
          <w:rFonts w:cs="Times New Roman" w:hint="eastAsia"/>
          <w:kern w:val="0"/>
          <w:szCs w:val="21"/>
        </w:rPr>
        <w:t>S</w:t>
      </w:r>
      <w:r w:rsidRPr="00D06577">
        <w:rPr>
          <w:rFonts w:cs="Times New Roman"/>
          <w:kern w:val="0"/>
          <w:szCs w:val="21"/>
        </w:rPr>
        <w:t>2</w:t>
      </w:r>
      <w:r w:rsidRPr="00D06577">
        <w:rPr>
          <w:rFonts w:cs="Times New Roman" w:hint="eastAsia"/>
          <w:kern w:val="0"/>
          <w:szCs w:val="21"/>
        </w:rPr>
        <w:t>）</w:t>
      </w:r>
    </w:p>
    <w:p w:rsidR="00097E70" w:rsidRDefault="00097E70" w:rsidP="00097E70">
      <w:pPr>
        <w:pStyle w:val="aa"/>
        <w:ind w:firstLine="480"/>
        <w:rPr>
          <w:lang w:val="x-none"/>
        </w:rPr>
      </w:pPr>
      <w:r w:rsidRPr="00D06577">
        <w:rPr>
          <w:rFonts w:hint="eastAsia"/>
          <w:lang w:val="x-none"/>
        </w:rPr>
        <w:t>地面清洗水的隔油池会产生一定的油泥，由于正常情况下加油站基本不会有油品滴落，因此隔油池内一般不产生油泥，本环评只提防治措施</w:t>
      </w:r>
      <w:r w:rsidRPr="00D06577">
        <w:rPr>
          <w:rFonts w:cs="Times New Roman" w:hint="eastAsia"/>
          <w:szCs w:val="24"/>
        </w:rPr>
        <w:t>。万一发生泄漏，隔油池油泥</w:t>
      </w:r>
      <w:r w:rsidRPr="00D06577">
        <w:rPr>
          <w:rFonts w:hint="eastAsia"/>
          <w:lang w:val="x-none"/>
        </w:rPr>
        <w:t>用专用固废罐收集后</w:t>
      </w:r>
      <w:r w:rsidRPr="00D06577">
        <w:rPr>
          <w:rFonts w:cs="Times New Roman" w:hint="eastAsia"/>
          <w:kern w:val="0"/>
          <w:szCs w:val="24"/>
        </w:rPr>
        <w:t>拉回三官堂油库，由三官堂油库委托</w:t>
      </w:r>
      <w:r w:rsidRPr="00D06577">
        <w:rPr>
          <w:rFonts w:hint="eastAsia"/>
          <w:lang w:val="x-none"/>
        </w:rPr>
        <w:t>宁波大地化工环保有限公司处置，场地内不设危废临时贮存仓库。</w:t>
      </w:r>
    </w:p>
    <w:p w:rsidR="00097E70" w:rsidRDefault="00097E70" w:rsidP="00097E70">
      <w:pPr>
        <w:pStyle w:val="aa"/>
        <w:ind w:firstLine="480"/>
        <w:rPr>
          <w:rFonts w:cs="Times New Roman"/>
          <w:kern w:val="0"/>
          <w:szCs w:val="21"/>
        </w:rPr>
      </w:pPr>
      <w:r>
        <w:rPr>
          <w:rFonts w:hint="eastAsia"/>
          <w:lang w:val="x-none"/>
        </w:rPr>
        <w:t>（</w:t>
      </w:r>
      <w:r>
        <w:rPr>
          <w:rFonts w:hint="eastAsia"/>
          <w:lang w:val="x-none"/>
        </w:rPr>
        <w:t>3</w:t>
      </w:r>
      <w:r>
        <w:rPr>
          <w:rFonts w:hint="eastAsia"/>
          <w:lang w:val="x-none"/>
        </w:rPr>
        <w:t>）</w:t>
      </w:r>
      <w:r w:rsidRPr="003B154A">
        <w:rPr>
          <w:rFonts w:cs="Times New Roman"/>
          <w:kern w:val="0"/>
          <w:szCs w:val="21"/>
        </w:rPr>
        <w:t>生活垃圾</w:t>
      </w:r>
      <w:r>
        <w:rPr>
          <w:rFonts w:cs="Times New Roman" w:hint="eastAsia"/>
          <w:kern w:val="0"/>
          <w:szCs w:val="21"/>
        </w:rPr>
        <w:t>（</w:t>
      </w:r>
      <w:r>
        <w:rPr>
          <w:rFonts w:cs="Times New Roman" w:hint="eastAsia"/>
          <w:kern w:val="0"/>
          <w:szCs w:val="21"/>
        </w:rPr>
        <w:t>S</w:t>
      </w:r>
      <w:r>
        <w:rPr>
          <w:rFonts w:cs="Times New Roman"/>
          <w:kern w:val="0"/>
          <w:szCs w:val="21"/>
        </w:rPr>
        <w:t>3</w:t>
      </w:r>
      <w:r>
        <w:rPr>
          <w:rFonts w:cs="Times New Roman" w:hint="eastAsia"/>
          <w:kern w:val="0"/>
          <w:szCs w:val="21"/>
        </w:rPr>
        <w:t>）</w:t>
      </w:r>
    </w:p>
    <w:p w:rsidR="00097E70" w:rsidRDefault="00F86405" w:rsidP="00097E70">
      <w:pPr>
        <w:pStyle w:val="aa"/>
        <w:ind w:firstLine="480"/>
        <w:rPr>
          <w:rFonts w:cs="Times New Roman"/>
          <w:kern w:val="0"/>
          <w:szCs w:val="21"/>
        </w:rPr>
      </w:pPr>
      <w:r w:rsidRPr="00F86405">
        <w:rPr>
          <w:rFonts w:cs="Times New Roman"/>
          <w:kern w:val="0"/>
          <w:szCs w:val="21"/>
        </w:rPr>
        <w:t>项目员工</w:t>
      </w:r>
      <w:r w:rsidRPr="00F86405">
        <w:rPr>
          <w:rFonts w:cs="Times New Roman"/>
          <w:kern w:val="0"/>
          <w:szCs w:val="21"/>
        </w:rPr>
        <w:t>11</w:t>
      </w:r>
      <w:r w:rsidRPr="00F86405">
        <w:rPr>
          <w:rFonts w:cs="Times New Roman"/>
          <w:kern w:val="0"/>
          <w:szCs w:val="21"/>
        </w:rPr>
        <w:t>人，厂区人员按</w:t>
      </w:r>
      <w:r w:rsidRPr="00F86405">
        <w:rPr>
          <w:rFonts w:cs="Times New Roman"/>
          <w:kern w:val="0"/>
          <w:szCs w:val="21"/>
        </w:rPr>
        <w:t>1kg/</w:t>
      </w:r>
      <w:r w:rsidRPr="00F86405">
        <w:rPr>
          <w:rFonts w:cs="Times New Roman"/>
          <w:kern w:val="0"/>
          <w:szCs w:val="21"/>
        </w:rPr>
        <w:t>人</w:t>
      </w:r>
      <w:r w:rsidRPr="00F86405">
        <w:rPr>
          <w:rFonts w:cs="Times New Roman"/>
          <w:kern w:val="0"/>
          <w:szCs w:val="21"/>
        </w:rPr>
        <w:t>·d</w:t>
      </w:r>
      <w:r w:rsidRPr="00F86405">
        <w:rPr>
          <w:rFonts w:cs="Times New Roman"/>
          <w:kern w:val="0"/>
          <w:szCs w:val="21"/>
        </w:rPr>
        <w:t>计算，年工作</w:t>
      </w:r>
      <w:r w:rsidRPr="00F86405">
        <w:rPr>
          <w:rFonts w:cs="Times New Roman"/>
          <w:kern w:val="0"/>
          <w:szCs w:val="21"/>
        </w:rPr>
        <w:t>365d</w:t>
      </w:r>
      <w:r w:rsidRPr="00F86405">
        <w:rPr>
          <w:rFonts w:cs="Times New Roman"/>
          <w:kern w:val="0"/>
          <w:szCs w:val="21"/>
        </w:rPr>
        <w:t>，则生活垃圾产生量约为</w:t>
      </w:r>
      <w:r w:rsidRPr="00F86405">
        <w:rPr>
          <w:rFonts w:cs="Times New Roman"/>
          <w:kern w:val="0"/>
          <w:szCs w:val="21"/>
        </w:rPr>
        <w:t>4.015t/a</w:t>
      </w:r>
      <w:r w:rsidRPr="00F86405">
        <w:rPr>
          <w:rFonts w:cs="Times New Roman"/>
          <w:kern w:val="0"/>
          <w:szCs w:val="21"/>
        </w:rPr>
        <w:t>，主要包含办公纸张等一般生活垃圾，经集中收集后由环卫部门统一清运</w:t>
      </w:r>
      <w:r w:rsidR="00097E70">
        <w:rPr>
          <w:rFonts w:cs="Times New Roman" w:hint="eastAsia"/>
          <w:kern w:val="0"/>
          <w:szCs w:val="21"/>
        </w:rPr>
        <w:t>。</w:t>
      </w:r>
    </w:p>
    <w:p w:rsidR="00EA115E" w:rsidRDefault="00EA115E" w:rsidP="00600F9B">
      <w:pPr>
        <w:spacing w:line="360" w:lineRule="auto"/>
        <w:ind w:firstLineChars="200" w:firstLine="480"/>
        <w:rPr>
          <w:sz w:val="24"/>
        </w:rPr>
      </w:pPr>
      <w:r w:rsidRPr="00535DB5">
        <w:rPr>
          <w:rFonts w:hint="eastAsia"/>
          <w:sz w:val="24"/>
        </w:rPr>
        <w:t>三</w:t>
      </w:r>
      <w:r w:rsidRPr="00535DB5">
        <w:rPr>
          <w:sz w:val="24"/>
        </w:rPr>
        <w:t>、建设</w:t>
      </w:r>
      <w:r w:rsidRPr="0024488E">
        <w:rPr>
          <w:sz w:val="24"/>
        </w:rPr>
        <w:t>项目环境影响分析</w:t>
      </w:r>
    </w:p>
    <w:p w:rsidR="00EA115E" w:rsidRDefault="00EA115E" w:rsidP="00600F9B">
      <w:pPr>
        <w:tabs>
          <w:tab w:val="left" w:pos="0"/>
          <w:tab w:val="left" w:pos="3150"/>
        </w:tabs>
        <w:autoSpaceDE w:val="0"/>
        <w:autoSpaceDN w:val="0"/>
        <w:spacing w:line="360" w:lineRule="auto"/>
        <w:ind w:firstLineChars="200" w:firstLine="480"/>
        <w:rPr>
          <w:sz w:val="24"/>
        </w:rPr>
      </w:pPr>
      <w:r w:rsidRPr="00A572E4">
        <w:rPr>
          <w:rFonts w:hint="eastAsia"/>
          <w:sz w:val="24"/>
        </w:rPr>
        <w:t>施工期环境影响分析</w:t>
      </w:r>
    </w:p>
    <w:p w:rsidR="00EA115E" w:rsidRDefault="00EA115E" w:rsidP="00600F9B">
      <w:pPr>
        <w:tabs>
          <w:tab w:val="left" w:pos="0"/>
          <w:tab w:val="left" w:pos="3150"/>
        </w:tabs>
        <w:autoSpaceDE w:val="0"/>
        <w:autoSpaceDN w:val="0"/>
        <w:spacing w:line="360" w:lineRule="auto"/>
        <w:ind w:firstLineChars="200" w:firstLine="480"/>
      </w:pPr>
      <w:r w:rsidRPr="00337219">
        <w:rPr>
          <w:rFonts w:hint="eastAsia"/>
          <w:sz w:val="24"/>
        </w:rPr>
        <w:t>本项目</w:t>
      </w:r>
      <w:r w:rsidR="005E47D1">
        <w:rPr>
          <w:rFonts w:hint="eastAsia"/>
          <w:sz w:val="24"/>
        </w:rPr>
        <w:t>已建成</w:t>
      </w:r>
      <w:r w:rsidRPr="00337219">
        <w:rPr>
          <w:rFonts w:hint="eastAsia"/>
          <w:sz w:val="24"/>
        </w:rPr>
        <w:t>，故施工期污染可忽略。</w:t>
      </w:r>
    </w:p>
    <w:p w:rsidR="00EA115E" w:rsidRPr="005E47D1" w:rsidRDefault="00EA115E" w:rsidP="00600F9B">
      <w:pPr>
        <w:tabs>
          <w:tab w:val="left" w:pos="0"/>
          <w:tab w:val="left" w:pos="3150"/>
        </w:tabs>
        <w:autoSpaceDE w:val="0"/>
        <w:autoSpaceDN w:val="0"/>
        <w:spacing w:line="360" w:lineRule="auto"/>
        <w:ind w:firstLineChars="200" w:firstLine="480"/>
        <w:rPr>
          <w:rFonts w:eastAsiaTheme="minorEastAsia"/>
          <w:sz w:val="24"/>
        </w:rPr>
      </w:pPr>
      <w:r w:rsidRPr="005E47D1">
        <w:rPr>
          <w:rFonts w:eastAsiaTheme="minorEastAsia"/>
          <w:sz w:val="24"/>
        </w:rPr>
        <w:t>营运期环境影响分析</w:t>
      </w:r>
    </w:p>
    <w:p w:rsidR="00EA115E" w:rsidRPr="005E47D1" w:rsidRDefault="00EA115E" w:rsidP="00600F9B">
      <w:pPr>
        <w:pStyle w:val="a7"/>
        <w:spacing w:line="360" w:lineRule="auto"/>
        <w:ind w:firstLine="200"/>
        <w:jc w:val="both"/>
        <w:rPr>
          <w:rFonts w:ascii="Times New Roman" w:hAnsi="Times New Roman" w:cs="Times New Roman"/>
        </w:rPr>
      </w:pPr>
      <w:r w:rsidRPr="005E47D1">
        <w:rPr>
          <w:rFonts w:ascii="Times New Roman" w:hAnsi="Times New Roman" w:cs="Times New Roman"/>
        </w:rPr>
        <w:t>（</w:t>
      </w:r>
      <w:r w:rsidRPr="005E47D1">
        <w:rPr>
          <w:rFonts w:ascii="Times New Roman" w:hAnsi="Times New Roman" w:cs="Times New Roman"/>
        </w:rPr>
        <w:t>1</w:t>
      </w:r>
      <w:r w:rsidRPr="005E47D1">
        <w:rPr>
          <w:rFonts w:ascii="Times New Roman" w:hAnsi="Times New Roman" w:cs="Times New Roman"/>
        </w:rPr>
        <w:t>）大气环境影响分析结论</w:t>
      </w:r>
    </w:p>
    <w:p w:rsidR="005E47D1" w:rsidRPr="005E47D1" w:rsidRDefault="005E47D1" w:rsidP="00600F9B">
      <w:pPr>
        <w:pStyle w:val="a7"/>
        <w:spacing w:line="360" w:lineRule="auto"/>
        <w:ind w:firstLineChars="200"/>
        <w:jc w:val="both"/>
        <w:rPr>
          <w:rFonts w:ascii="Times New Roman" w:hAnsi="Times New Roman" w:cs="Times New Roman"/>
        </w:rPr>
      </w:pPr>
      <w:r w:rsidRPr="005E47D1">
        <w:rPr>
          <w:rFonts w:ascii="Times New Roman" w:hAnsi="Times New Roman" w:cs="Times New Roman"/>
        </w:rPr>
        <w:t>项目产生的废气主要为油品贮存、卸油、加油作业等过程产生的油气挥发废气，</w:t>
      </w:r>
      <w:r w:rsidRPr="005E47D1">
        <w:rPr>
          <w:rFonts w:ascii="Times New Roman" w:hAnsi="Times New Roman" w:cs="Times New Roman"/>
          <w:color w:val="000000"/>
        </w:rPr>
        <w:t>根据厂界非甲烷总烃浓度监测结果可知，本项目厂界非甲烷总烃浓度可满足《大气污染物综合排放标准》（</w:t>
      </w:r>
      <w:r w:rsidRPr="005E47D1">
        <w:rPr>
          <w:rFonts w:ascii="Times New Roman" w:hAnsi="Times New Roman" w:cs="Times New Roman"/>
          <w:color w:val="000000"/>
        </w:rPr>
        <w:t>GB16297-1996</w:t>
      </w:r>
      <w:r w:rsidRPr="005E47D1">
        <w:rPr>
          <w:rFonts w:ascii="Times New Roman" w:hAnsi="Times New Roman" w:cs="Times New Roman"/>
          <w:color w:val="000000"/>
        </w:rPr>
        <w:t>）中的无组织排放监控浓度限值要求，</w:t>
      </w:r>
      <w:r w:rsidRPr="005E47D1">
        <w:rPr>
          <w:rFonts w:ascii="Times New Roman" w:hAnsi="Times New Roman" w:cs="Times New Roman"/>
        </w:rPr>
        <w:t>对周边环境影响较小。</w:t>
      </w:r>
    </w:p>
    <w:p w:rsidR="00EA115E" w:rsidRPr="005E47D1" w:rsidRDefault="00EA115E" w:rsidP="00600F9B">
      <w:pPr>
        <w:pStyle w:val="a7"/>
        <w:spacing w:line="360" w:lineRule="auto"/>
        <w:ind w:firstLineChars="200"/>
        <w:jc w:val="both"/>
        <w:rPr>
          <w:rFonts w:ascii="Times New Roman" w:hAnsi="Times New Roman" w:cs="Times New Roman"/>
        </w:rPr>
      </w:pPr>
      <w:r w:rsidRPr="005E47D1">
        <w:rPr>
          <w:rFonts w:ascii="Times New Roman" w:hAnsi="Times New Roman" w:cs="Times New Roman"/>
        </w:rPr>
        <w:lastRenderedPageBreak/>
        <w:t>（</w:t>
      </w:r>
      <w:r w:rsidRPr="005E47D1">
        <w:rPr>
          <w:rFonts w:ascii="Times New Roman" w:hAnsi="Times New Roman" w:cs="Times New Roman"/>
        </w:rPr>
        <w:t>2</w:t>
      </w:r>
      <w:r w:rsidRPr="005E47D1">
        <w:rPr>
          <w:rFonts w:ascii="Times New Roman" w:hAnsi="Times New Roman" w:cs="Times New Roman"/>
        </w:rPr>
        <w:t>）</w:t>
      </w:r>
      <w:r w:rsidR="005E47D1" w:rsidRPr="005E47D1">
        <w:rPr>
          <w:rFonts w:ascii="Times New Roman" w:hAnsi="Times New Roman" w:cs="Times New Roman"/>
        </w:rPr>
        <w:t>地表</w:t>
      </w:r>
      <w:r w:rsidRPr="005E47D1">
        <w:rPr>
          <w:rFonts w:ascii="Times New Roman" w:hAnsi="Times New Roman" w:cs="Times New Roman"/>
        </w:rPr>
        <w:t>水环境影响分析结论</w:t>
      </w:r>
    </w:p>
    <w:p w:rsidR="00097E70" w:rsidRPr="00097E70" w:rsidRDefault="00097E70" w:rsidP="00097E70">
      <w:pPr>
        <w:tabs>
          <w:tab w:val="left" w:pos="0"/>
          <w:tab w:val="left" w:pos="2670"/>
        </w:tabs>
        <w:autoSpaceDE w:val="0"/>
        <w:autoSpaceDN w:val="0"/>
        <w:spacing w:line="360" w:lineRule="auto"/>
        <w:ind w:firstLineChars="200" w:firstLine="480"/>
        <w:rPr>
          <w:sz w:val="24"/>
          <w:lang w:bidi="en-US"/>
        </w:rPr>
      </w:pPr>
      <w:r w:rsidRPr="00097E70">
        <w:rPr>
          <w:rFonts w:hint="eastAsia"/>
          <w:sz w:val="24"/>
          <w:lang w:bidi="en-US"/>
        </w:rPr>
        <w:t>生活污水经化粪池预处理后汇同经隔油池隔油处理后的地面冲洗废水和初期雨水纳入市政污水管网，送至岩东污水处理厂，处理达到《城镇污水处理厂污染物排放标准》</w:t>
      </w:r>
      <w:r w:rsidRPr="00097E70">
        <w:rPr>
          <w:rFonts w:hint="eastAsia"/>
          <w:sz w:val="24"/>
          <w:lang w:bidi="en-US"/>
        </w:rPr>
        <w:t>(GB18918-2002)</w:t>
      </w:r>
      <w:r w:rsidRPr="00097E70">
        <w:rPr>
          <w:rFonts w:hint="eastAsia"/>
          <w:sz w:val="24"/>
          <w:lang w:bidi="en-US"/>
        </w:rPr>
        <w:t>中的一级</w:t>
      </w:r>
      <w:r w:rsidRPr="00097E70">
        <w:rPr>
          <w:rFonts w:hint="eastAsia"/>
          <w:sz w:val="24"/>
          <w:lang w:bidi="en-US"/>
        </w:rPr>
        <w:t>A</w:t>
      </w:r>
      <w:r w:rsidRPr="00097E70">
        <w:rPr>
          <w:rFonts w:hint="eastAsia"/>
          <w:sz w:val="24"/>
          <w:lang w:bidi="en-US"/>
        </w:rPr>
        <w:t>标准（其中化学需氧量、氨氮、总氮和总磷</w:t>
      </w:r>
      <w:r w:rsidRPr="00097E70">
        <w:rPr>
          <w:rFonts w:hint="eastAsia"/>
          <w:sz w:val="24"/>
          <w:lang w:bidi="en-US"/>
        </w:rPr>
        <w:t>4</w:t>
      </w:r>
      <w:r w:rsidRPr="00097E70">
        <w:rPr>
          <w:rFonts w:hint="eastAsia"/>
          <w:sz w:val="24"/>
          <w:lang w:bidi="en-US"/>
        </w:rPr>
        <w:t>项主要水污染物控制项目达到《城镇污水处理厂主要水污染物排放标准》（</w:t>
      </w:r>
      <w:r w:rsidRPr="00097E70">
        <w:rPr>
          <w:rFonts w:hint="eastAsia"/>
          <w:sz w:val="24"/>
          <w:lang w:bidi="en-US"/>
        </w:rPr>
        <w:t>DB33/2169-2018</w:t>
      </w:r>
      <w:r w:rsidRPr="00097E70">
        <w:rPr>
          <w:rFonts w:hint="eastAsia"/>
          <w:sz w:val="24"/>
          <w:lang w:bidi="en-US"/>
        </w:rPr>
        <w:t>）现有城镇污水处理厂主要水污染物排放限值）后排海。</w:t>
      </w:r>
    </w:p>
    <w:p w:rsidR="005E47D1" w:rsidRPr="005E47D1" w:rsidRDefault="005E47D1" w:rsidP="00600F9B">
      <w:pPr>
        <w:spacing w:line="360" w:lineRule="auto"/>
        <w:ind w:firstLineChars="200" w:firstLine="480"/>
        <w:rPr>
          <w:rFonts w:eastAsiaTheme="minorEastAsia"/>
          <w:sz w:val="24"/>
        </w:rPr>
      </w:pPr>
      <w:r w:rsidRPr="005E47D1">
        <w:rPr>
          <w:rFonts w:eastAsiaTheme="minorEastAsia"/>
          <w:sz w:val="24"/>
        </w:rPr>
        <w:t>（</w:t>
      </w:r>
      <w:r w:rsidRPr="005E47D1">
        <w:rPr>
          <w:rFonts w:eastAsiaTheme="minorEastAsia"/>
          <w:sz w:val="24"/>
        </w:rPr>
        <w:t>3</w:t>
      </w:r>
      <w:r w:rsidRPr="005E47D1">
        <w:rPr>
          <w:rFonts w:eastAsiaTheme="minorEastAsia"/>
          <w:sz w:val="24"/>
        </w:rPr>
        <w:t>）地下水环境影响分析结论</w:t>
      </w:r>
    </w:p>
    <w:p w:rsidR="00097E70" w:rsidRPr="00097E70" w:rsidRDefault="00097E70" w:rsidP="00097E70">
      <w:pPr>
        <w:spacing w:line="360" w:lineRule="auto"/>
        <w:ind w:firstLineChars="200" w:firstLine="480"/>
        <w:rPr>
          <w:sz w:val="24"/>
          <w:szCs w:val="22"/>
        </w:rPr>
      </w:pPr>
      <w:r w:rsidRPr="00097E70">
        <w:rPr>
          <w:rFonts w:hint="eastAsia"/>
          <w:sz w:val="24"/>
          <w:szCs w:val="22"/>
        </w:rPr>
        <w:t>在正常况状下，本项目不会有大量油品泄露，仅在加油作业过程中会有少量的跑冒滴漏油品落在地表，不会对地下水造成污染。根据预测结果，事故状态下，预测时间</w:t>
      </w:r>
      <w:r w:rsidRPr="00097E70">
        <w:rPr>
          <w:rFonts w:hint="eastAsia"/>
          <w:sz w:val="24"/>
          <w:szCs w:val="22"/>
        </w:rPr>
        <w:t>1</w:t>
      </w:r>
      <w:r w:rsidRPr="00097E70">
        <w:rPr>
          <w:sz w:val="24"/>
          <w:szCs w:val="22"/>
        </w:rPr>
        <w:t>00d</w:t>
      </w:r>
      <w:r w:rsidRPr="00097E70">
        <w:rPr>
          <w:rFonts w:hint="eastAsia"/>
          <w:sz w:val="24"/>
          <w:szCs w:val="22"/>
        </w:rPr>
        <w:t>时，达标距离为地下水下游</w:t>
      </w:r>
      <w:r w:rsidRPr="00097E70">
        <w:rPr>
          <w:rFonts w:hint="eastAsia"/>
          <w:sz w:val="24"/>
          <w:szCs w:val="22"/>
        </w:rPr>
        <w:t>4</w:t>
      </w:r>
      <w:r w:rsidRPr="00097E70">
        <w:rPr>
          <w:sz w:val="24"/>
          <w:szCs w:val="22"/>
        </w:rPr>
        <w:t>4m</w:t>
      </w:r>
      <w:r w:rsidRPr="00097E70">
        <w:rPr>
          <w:rFonts w:hint="eastAsia"/>
          <w:sz w:val="24"/>
          <w:szCs w:val="22"/>
        </w:rPr>
        <w:t>，预测时间</w:t>
      </w:r>
      <w:r w:rsidRPr="00097E70">
        <w:rPr>
          <w:rFonts w:hint="eastAsia"/>
          <w:sz w:val="24"/>
          <w:szCs w:val="22"/>
        </w:rPr>
        <w:t>1</w:t>
      </w:r>
      <w:r w:rsidRPr="00097E70">
        <w:rPr>
          <w:sz w:val="24"/>
          <w:szCs w:val="22"/>
        </w:rPr>
        <w:t>000d</w:t>
      </w:r>
      <w:r w:rsidRPr="00097E70">
        <w:rPr>
          <w:rFonts w:hint="eastAsia"/>
          <w:sz w:val="24"/>
          <w:szCs w:val="22"/>
        </w:rPr>
        <w:t>时，达标距离为地下水下游</w:t>
      </w:r>
      <w:r w:rsidRPr="00097E70">
        <w:rPr>
          <w:rFonts w:hint="eastAsia"/>
          <w:sz w:val="24"/>
          <w:szCs w:val="22"/>
        </w:rPr>
        <w:t>13</w:t>
      </w:r>
      <w:r w:rsidR="00F86405">
        <w:rPr>
          <w:sz w:val="24"/>
          <w:szCs w:val="22"/>
        </w:rPr>
        <w:t>1</w:t>
      </w:r>
      <w:r w:rsidRPr="00097E70">
        <w:rPr>
          <w:sz w:val="24"/>
          <w:szCs w:val="22"/>
        </w:rPr>
        <w:t>m</w:t>
      </w:r>
      <w:r w:rsidRPr="00097E70">
        <w:rPr>
          <w:rFonts w:hint="eastAsia"/>
          <w:sz w:val="24"/>
          <w:szCs w:val="22"/>
        </w:rPr>
        <w:t>。项目厂区下游</w:t>
      </w:r>
      <w:r w:rsidRPr="00097E70">
        <w:rPr>
          <w:rFonts w:hint="eastAsia"/>
          <w:sz w:val="24"/>
          <w:szCs w:val="22"/>
        </w:rPr>
        <w:t>13</w:t>
      </w:r>
      <w:r w:rsidR="00F86405">
        <w:rPr>
          <w:sz w:val="24"/>
          <w:szCs w:val="22"/>
        </w:rPr>
        <w:t>1</w:t>
      </w:r>
      <w:r w:rsidRPr="00097E70">
        <w:rPr>
          <w:sz w:val="24"/>
          <w:szCs w:val="22"/>
        </w:rPr>
        <w:t>m</w:t>
      </w:r>
      <w:r w:rsidRPr="00097E70">
        <w:rPr>
          <w:rFonts w:hint="eastAsia"/>
          <w:sz w:val="24"/>
          <w:szCs w:val="22"/>
        </w:rPr>
        <w:t>范围内无地下水保护目标，因此项目建设对区域地下水环境影响较小。</w:t>
      </w:r>
    </w:p>
    <w:p w:rsidR="00EA115E" w:rsidRPr="005E47D1" w:rsidRDefault="00EA115E" w:rsidP="00600F9B">
      <w:pPr>
        <w:pStyle w:val="a7"/>
        <w:spacing w:line="360" w:lineRule="auto"/>
        <w:ind w:firstLine="200"/>
        <w:jc w:val="both"/>
        <w:rPr>
          <w:rFonts w:ascii="Times New Roman" w:hAnsi="Times New Roman" w:cs="Times New Roman"/>
        </w:rPr>
      </w:pPr>
      <w:r w:rsidRPr="005E47D1">
        <w:rPr>
          <w:rFonts w:ascii="Times New Roman" w:hAnsi="Times New Roman" w:cs="Times New Roman"/>
        </w:rPr>
        <w:t>（</w:t>
      </w:r>
      <w:r w:rsidR="005E47D1" w:rsidRPr="005E47D1">
        <w:rPr>
          <w:rFonts w:ascii="Times New Roman" w:hAnsi="Times New Roman" w:cs="Times New Roman"/>
        </w:rPr>
        <w:t>4</w:t>
      </w:r>
      <w:r w:rsidRPr="005E47D1">
        <w:rPr>
          <w:rFonts w:ascii="Times New Roman" w:hAnsi="Times New Roman" w:cs="Times New Roman"/>
        </w:rPr>
        <w:t>）声环境影响分析结论</w:t>
      </w:r>
    </w:p>
    <w:p w:rsidR="00097E70" w:rsidRDefault="00097E70" w:rsidP="00600F9B">
      <w:pPr>
        <w:spacing w:line="360" w:lineRule="auto"/>
        <w:ind w:firstLineChars="200" w:firstLine="480"/>
        <w:rPr>
          <w:rFonts w:eastAsiaTheme="minorEastAsia"/>
          <w:sz w:val="24"/>
        </w:rPr>
      </w:pPr>
      <w:r w:rsidRPr="00097E70">
        <w:rPr>
          <w:rFonts w:eastAsiaTheme="minorEastAsia" w:hint="eastAsia"/>
          <w:sz w:val="24"/>
        </w:rPr>
        <w:t>本项目噪声主要来自于加油机设备运行时产生的噪声以及车辆产生的交通噪声，车间噪声在</w:t>
      </w:r>
      <w:r w:rsidRPr="00097E70">
        <w:rPr>
          <w:rFonts w:eastAsiaTheme="minorEastAsia" w:hint="eastAsia"/>
          <w:sz w:val="24"/>
        </w:rPr>
        <w:t>60~70dB</w:t>
      </w:r>
      <w:r w:rsidRPr="00097E70">
        <w:rPr>
          <w:rFonts w:eastAsiaTheme="minorEastAsia" w:hint="eastAsia"/>
          <w:sz w:val="24"/>
        </w:rPr>
        <w:t>（</w:t>
      </w:r>
      <w:r w:rsidRPr="00097E70">
        <w:rPr>
          <w:rFonts w:eastAsiaTheme="minorEastAsia" w:hint="eastAsia"/>
          <w:sz w:val="24"/>
        </w:rPr>
        <w:t>A</w:t>
      </w:r>
      <w:r w:rsidRPr="00097E70">
        <w:rPr>
          <w:rFonts w:eastAsiaTheme="minorEastAsia" w:hint="eastAsia"/>
          <w:sz w:val="24"/>
        </w:rPr>
        <w:t>）。</w:t>
      </w:r>
      <w:r w:rsidR="00F86405" w:rsidRPr="00F86405">
        <w:rPr>
          <w:rFonts w:hint="eastAsia"/>
          <w:color w:val="000000"/>
          <w:sz w:val="24"/>
          <w:szCs w:val="22"/>
        </w:rPr>
        <w:t>项目</w:t>
      </w:r>
      <w:r w:rsidR="00F86405" w:rsidRPr="00F86405">
        <w:rPr>
          <w:sz w:val="24"/>
          <w:szCs w:val="22"/>
        </w:rPr>
        <w:t>厂界</w:t>
      </w:r>
      <w:r w:rsidR="00F86405" w:rsidRPr="00F86405">
        <w:rPr>
          <w:rFonts w:hint="eastAsia"/>
          <w:sz w:val="24"/>
          <w:szCs w:val="22"/>
        </w:rPr>
        <w:t>噪声贡献值均能达到《工业企业厂界环境噪声排放标准》（</w:t>
      </w:r>
      <w:r w:rsidR="00F86405" w:rsidRPr="00F86405">
        <w:rPr>
          <w:rFonts w:hint="eastAsia"/>
          <w:sz w:val="24"/>
          <w:szCs w:val="22"/>
        </w:rPr>
        <w:t>GB</w:t>
      </w:r>
      <w:r w:rsidR="00F86405" w:rsidRPr="00F86405">
        <w:rPr>
          <w:sz w:val="24"/>
          <w:szCs w:val="22"/>
        </w:rPr>
        <w:t>12348-2008</w:t>
      </w:r>
      <w:r w:rsidR="00F86405" w:rsidRPr="00F86405">
        <w:rPr>
          <w:rFonts w:hint="eastAsia"/>
          <w:sz w:val="24"/>
          <w:szCs w:val="22"/>
        </w:rPr>
        <w:t>）中</w:t>
      </w:r>
      <w:r w:rsidR="00F86405" w:rsidRPr="00F86405">
        <w:rPr>
          <w:sz w:val="24"/>
          <w:szCs w:val="22"/>
        </w:rPr>
        <w:t>4</w:t>
      </w:r>
      <w:r w:rsidR="00F86405" w:rsidRPr="00F86405">
        <w:rPr>
          <w:rFonts w:hint="eastAsia"/>
          <w:sz w:val="24"/>
          <w:szCs w:val="22"/>
        </w:rPr>
        <w:t>类标准要求，</w:t>
      </w:r>
      <w:r w:rsidR="00F86405" w:rsidRPr="00F86405">
        <w:rPr>
          <w:sz w:val="24"/>
          <w:szCs w:val="22"/>
        </w:rPr>
        <w:t>说明项目</w:t>
      </w:r>
      <w:r w:rsidR="00F86405" w:rsidRPr="00F86405">
        <w:rPr>
          <w:rFonts w:hint="eastAsia"/>
          <w:sz w:val="24"/>
          <w:szCs w:val="22"/>
        </w:rPr>
        <w:t>噪声对周围环境影响较小</w:t>
      </w:r>
      <w:r w:rsidRPr="00097E70">
        <w:rPr>
          <w:rFonts w:eastAsiaTheme="minorEastAsia" w:hint="eastAsia"/>
          <w:sz w:val="24"/>
        </w:rPr>
        <w:t>。</w:t>
      </w:r>
    </w:p>
    <w:p w:rsidR="00EA115E" w:rsidRPr="005E47D1" w:rsidRDefault="00EA115E" w:rsidP="00600F9B">
      <w:pPr>
        <w:spacing w:line="360" w:lineRule="auto"/>
        <w:ind w:firstLineChars="200" w:firstLine="420"/>
      </w:pPr>
      <w:r w:rsidRPr="005E47D1">
        <w:t>（</w:t>
      </w:r>
      <w:r w:rsidR="005E47D1" w:rsidRPr="005E47D1">
        <w:t>5</w:t>
      </w:r>
      <w:r w:rsidRPr="005E47D1">
        <w:t>）固体废物影响分析结论</w:t>
      </w:r>
    </w:p>
    <w:p w:rsidR="005E47D1" w:rsidRPr="00F86405" w:rsidRDefault="005E47D1" w:rsidP="00F86405">
      <w:pPr>
        <w:autoSpaceDE w:val="0"/>
        <w:autoSpaceDN w:val="0"/>
        <w:spacing w:line="360" w:lineRule="auto"/>
        <w:ind w:firstLineChars="200" w:firstLine="480"/>
        <w:rPr>
          <w:rFonts w:eastAsiaTheme="minorEastAsia"/>
          <w:kern w:val="0"/>
          <w:sz w:val="24"/>
        </w:rPr>
      </w:pPr>
      <w:r w:rsidRPr="005E47D1">
        <w:rPr>
          <w:rFonts w:eastAsiaTheme="minorEastAsia"/>
          <w:sz w:val="24"/>
        </w:rPr>
        <w:t>本项目储油罐定期清理产生的废油及废渣</w:t>
      </w:r>
      <w:r w:rsidRPr="005E47D1">
        <w:rPr>
          <w:rFonts w:eastAsiaTheme="minorEastAsia"/>
          <w:kern w:val="0"/>
          <w:sz w:val="24"/>
        </w:rPr>
        <w:t>属于危险废物，废物类别为</w:t>
      </w:r>
      <w:r w:rsidRPr="005E47D1">
        <w:rPr>
          <w:rFonts w:eastAsiaTheme="minorEastAsia"/>
          <w:kern w:val="0"/>
          <w:sz w:val="24"/>
        </w:rPr>
        <w:t>HW08</w:t>
      </w:r>
      <w:r w:rsidRPr="005E47D1">
        <w:rPr>
          <w:rFonts w:eastAsiaTheme="minorEastAsia"/>
          <w:kern w:val="0"/>
          <w:sz w:val="24"/>
        </w:rPr>
        <w:t>废矿物油，废物代码</w:t>
      </w:r>
      <w:r w:rsidRPr="005E47D1">
        <w:rPr>
          <w:rFonts w:eastAsiaTheme="minorEastAsia"/>
          <w:sz w:val="24"/>
        </w:rPr>
        <w:t>900-249-08</w:t>
      </w:r>
      <w:r w:rsidRPr="005E47D1">
        <w:rPr>
          <w:rFonts w:eastAsiaTheme="minorEastAsia"/>
          <w:kern w:val="0"/>
          <w:sz w:val="24"/>
        </w:rPr>
        <w:t>；废油及废渣运往三官堂油库，由三官堂油库委托宁波大地化工环保有限公司处置，本加油站不进行存储。员工生活垃圾为一般固废，委托环卫部门定期清运处置。</w:t>
      </w:r>
      <w:r w:rsidRPr="005E47D1">
        <w:rPr>
          <w:rFonts w:eastAsiaTheme="minorEastAsia"/>
          <w:sz w:val="24"/>
        </w:rPr>
        <w:t>采取上述措施后，本项目各类固体废物均能落实相应妥善处置措施，去向明确，预计对周边环境基本不会产生影响。</w:t>
      </w:r>
    </w:p>
    <w:p w:rsidR="005E47D1" w:rsidRPr="005E47D1" w:rsidRDefault="005E47D1" w:rsidP="00600F9B">
      <w:pPr>
        <w:spacing w:line="360" w:lineRule="auto"/>
        <w:ind w:firstLineChars="200" w:firstLine="480"/>
        <w:rPr>
          <w:rFonts w:eastAsiaTheme="minorEastAsia"/>
          <w:sz w:val="24"/>
        </w:rPr>
      </w:pPr>
      <w:r w:rsidRPr="005E47D1">
        <w:rPr>
          <w:rFonts w:eastAsiaTheme="minorEastAsia"/>
          <w:sz w:val="24"/>
        </w:rPr>
        <w:t>（</w:t>
      </w:r>
      <w:r w:rsidRPr="005E47D1">
        <w:rPr>
          <w:rFonts w:eastAsiaTheme="minorEastAsia"/>
          <w:sz w:val="24"/>
        </w:rPr>
        <w:t>6</w:t>
      </w:r>
      <w:r w:rsidRPr="005E47D1">
        <w:rPr>
          <w:rFonts w:eastAsiaTheme="minorEastAsia"/>
          <w:sz w:val="24"/>
        </w:rPr>
        <w:t>）环境风险影响分析结论</w:t>
      </w:r>
    </w:p>
    <w:p w:rsidR="00097E70" w:rsidRDefault="00097E70" w:rsidP="00600F9B">
      <w:pPr>
        <w:spacing w:line="360" w:lineRule="auto"/>
        <w:ind w:firstLineChars="200" w:firstLine="480"/>
        <w:rPr>
          <w:rFonts w:eastAsiaTheme="minorEastAsia"/>
          <w:sz w:val="24"/>
        </w:rPr>
      </w:pPr>
      <w:r w:rsidRPr="00097E70">
        <w:rPr>
          <w:rFonts w:eastAsiaTheme="minorEastAsia" w:hint="eastAsia"/>
          <w:sz w:val="24"/>
        </w:rPr>
        <w:t>本项目产生的固体废物主要是清罐废油渣、隔油池油泥和生活垃圾。清罐废油渣在罐体清理后用专用固废罐收集，并在清罐结束后立即拉至三官堂油库，由三官堂油库委托宁波大地化工环保有限公司处置，场地内不设危废暂存仓库。正常状况下隔油池内一般不产生油泥，万一发生泄漏，隔油池油泥用专用固废罐收集后拉回三官堂油库，由三官堂油库委托宁波大地化工环保有限公司处置。生活垃圾收集后由环卫部门统一清运。企业在落实上述处置措施后，本项目产生固废对环境影响较小。</w:t>
      </w:r>
    </w:p>
    <w:p w:rsidR="00EA115E" w:rsidRPr="005E47D1" w:rsidRDefault="00EA115E" w:rsidP="00600F9B">
      <w:pPr>
        <w:spacing w:line="360" w:lineRule="auto"/>
        <w:ind w:firstLineChars="200" w:firstLine="480"/>
        <w:rPr>
          <w:rFonts w:eastAsiaTheme="minorEastAsia"/>
          <w:sz w:val="24"/>
        </w:rPr>
      </w:pPr>
      <w:r w:rsidRPr="005E47D1">
        <w:rPr>
          <w:rFonts w:eastAsiaTheme="minorEastAsia"/>
          <w:sz w:val="24"/>
        </w:rPr>
        <w:t>四、环境影响评价结论</w:t>
      </w:r>
    </w:p>
    <w:p w:rsidR="005E47D1" w:rsidRPr="005E47D1" w:rsidRDefault="00097E70" w:rsidP="00600F9B">
      <w:pPr>
        <w:spacing w:line="360" w:lineRule="auto"/>
        <w:ind w:firstLineChars="200" w:firstLine="480"/>
        <w:rPr>
          <w:rFonts w:eastAsiaTheme="minorEastAsia"/>
          <w:b/>
          <w:sz w:val="24"/>
        </w:rPr>
      </w:pPr>
      <w:r w:rsidRPr="00097E70">
        <w:rPr>
          <w:rFonts w:hint="eastAsia"/>
          <w:sz w:val="24"/>
          <w:szCs w:val="22"/>
        </w:rPr>
        <w:t>根据以上分析可知，本项目选址合理，符合国家、地方产业政策及清洁生产的要求；项目污染物在达标排放情况下对周围环境影响较小。只要企业重视环保工作，认真落实评价提出的各项污染防治对策，加强对污染物的治理工作，做到环保工作专人分管，责任到人，落实环保治理所需要的</w:t>
      </w:r>
      <w:r w:rsidRPr="00097E70">
        <w:rPr>
          <w:rFonts w:hint="eastAsia"/>
          <w:sz w:val="24"/>
          <w:szCs w:val="22"/>
        </w:rPr>
        <w:lastRenderedPageBreak/>
        <w:t>资金，则该项目的实施，可以做到在取得较高的生产效益的同时，能够满足环境保护的要求。因此该项目从环保角度来说是可行的。</w:t>
      </w:r>
    </w:p>
    <w:p w:rsidR="00EA115E" w:rsidRPr="005F7EB0" w:rsidRDefault="00EA115E" w:rsidP="00EA115E">
      <w:pPr>
        <w:spacing w:line="360" w:lineRule="auto"/>
        <w:ind w:firstLineChars="200" w:firstLine="420"/>
      </w:pPr>
      <w:r>
        <w:rPr>
          <w:rFonts w:hint="eastAsia"/>
        </w:rPr>
        <w:t xml:space="preserve">                 </w:t>
      </w:r>
    </w:p>
    <w:p w:rsidR="00D954A3" w:rsidRPr="00EA115E" w:rsidRDefault="00D954A3">
      <w:bookmarkStart w:id="23" w:name="_GoBack"/>
      <w:bookmarkEnd w:id="23"/>
    </w:p>
    <w:sectPr w:rsidR="00D954A3" w:rsidRPr="00EA115E">
      <w:headerReference w:type="even" r:id="rId6"/>
      <w:footerReference w:type="default" r:id="rId7"/>
      <w:pgSz w:w="11907" w:h="16840"/>
      <w:pgMar w:top="1247" w:right="851" w:bottom="1247" w:left="851" w:header="794" w:footer="556" w:gutter="0"/>
      <w:cols w:space="720"/>
      <w:docGrid w:linePitch="496"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B75" w:rsidRDefault="00770B75" w:rsidP="00EA115E">
      <w:r>
        <w:separator/>
      </w:r>
    </w:p>
  </w:endnote>
  <w:endnote w:type="continuationSeparator" w:id="0">
    <w:p w:rsidR="00770B75" w:rsidRDefault="00770B75" w:rsidP="00E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F0B" w:rsidRDefault="00853E21">
    <w:pPr>
      <w:framePr w:h="0" w:wrap="around" w:vAnchor="text" w:hAnchor="margin" w:xAlign="center" w:y="1"/>
      <w:jc w:val="center"/>
    </w:pPr>
    <w:r>
      <w:fldChar w:fldCharType="begin"/>
    </w:r>
    <w:r>
      <w:instrText xml:space="preserve">PAGE  </w:instrText>
    </w:r>
    <w:r>
      <w:fldChar w:fldCharType="separate"/>
    </w:r>
    <w:r w:rsidR="00600F9B">
      <w:rPr>
        <w:noProof/>
      </w:rPr>
      <w:t>1</w:t>
    </w:r>
    <w:r>
      <w:fldChar w:fldCharType="end"/>
    </w:r>
  </w:p>
  <w:p w:rsidR="00625F0B" w:rsidRDefault="00770B75">
    <w:pPr>
      <w:framePr w:h="0" w:wrap="around" w:vAnchor="text" w:hAnchor="margin" w:xAlign="center" w:y="1"/>
    </w:pPr>
  </w:p>
  <w:p w:rsidR="00625F0B" w:rsidRDefault="00770B75">
    <w:pPr>
      <w:ind w:right="360"/>
    </w:pPr>
  </w:p>
  <w:p w:rsidR="00625F0B" w:rsidRDefault="00770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B75" w:rsidRDefault="00770B75" w:rsidP="00EA115E">
      <w:r>
        <w:separator/>
      </w:r>
    </w:p>
  </w:footnote>
  <w:footnote w:type="continuationSeparator" w:id="0">
    <w:p w:rsidR="00770B75" w:rsidRDefault="00770B75" w:rsidP="00EA1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F0B" w:rsidRDefault="00770B75"/>
  <w:p w:rsidR="00625F0B" w:rsidRDefault="00770B7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855"/>
    <w:rsid w:val="00097E70"/>
    <w:rsid w:val="004E5BCF"/>
    <w:rsid w:val="005E47D1"/>
    <w:rsid w:val="00600F9B"/>
    <w:rsid w:val="00770B75"/>
    <w:rsid w:val="00815E36"/>
    <w:rsid w:val="00853E21"/>
    <w:rsid w:val="00C30855"/>
    <w:rsid w:val="00D954A3"/>
    <w:rsid w:val="00E835E9"/>
    <w:rsid w:val="00EA115E"/>
    <w:rsid w:val="00F86405"/>
    <w:rsid w:val="00FA5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3C481"/>
  <w15:chartTrackingRefBased/>
  <w15:docId w15:val="{2CE34A38-C94A-460C-B8D9-967B59D3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1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1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A115E"/>
    <w:rPr>
      <w:sz w:val="18"/>
      <w:szCs w:val="18"/>
    </w:rPr>
  </w:style>
  <w:style w:type="paragraph" w:styleId="a5">
    <w:name w:val="footer"/>
    <w:basedOn w:val="a"/>
    <w:link w:val="a6"/>
    <w:uiPriority w:val="99"/>
    <w:unhideWhenUsed/>
    <w:rsid w:val="00EA11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A115E"/>
    <w:rPr>
      <w:sz w:val="18"/>
      <w:szCs w:val="18"/>
    </w:rPr>
  </w:style>
  <w:style w:type="character" w:customStyle="1" w:styleId="Char">
    <w:name w:val="报告文字 Char"/>
    <w:link w:val="a7"/>
    <w:qFormat/>
    <w:rsid w:val="00EA115E"/>
    <w:rPr>
      <w:sz w:val="24"/>
      <w:szCs w:val="24"/>
    </w:rPr>
  </w:style>
  <w:style w:type="paragraph" w:customStyle="1" w:styleId="a7">
    <w:name w:val="报告文字"/>
    <w:basedOn w:val="a"/>
    <w:link w:val="Char"/>
    <w:qFormat/>
    <w:rsid w:val="00EA115E"/>
    <w:pPr>
      <w:tabs>
        <w:tab w:val="left" w:pos="0"/>
        <w:tab w:val="left" w:pos="2955"/>
      </w:tabs>
      <w:autoSpaceDE w:val="0"/>
      <w:autoSpaceDN w:val="0"/>
      <w:spacing w:line="480" w:lineRule="exact"/>
      <w:ind w:firstLine="480"/>
      <w:jc w:val="left"/>
    </w:pPr>
    <w:rPr>
      <w:rFonts w:asciiTheme="minorHAnsi" w:eastAsiaTheme="minorEastAsia" w:hAnsiTheme="minorHAnsi" w:cstheme="minorBidi"/>
      <w:sz w:val="24"/>
    </w:rPr>
  </w:style>
  <w:style w:type="paragraph" w:customStyle="1" w:styleId="a8">
    <w:name w:val="环评文件确认书"/>
    <w:basedOn w:val="a"/>
    <w:rsid w:val="00EA115E"/>
    <w:pPr>
      <w:jc w:val="center"/>
    </w:pPr>
    <w:rPr>
      <w:sz w:val="24"/>
    </w:rPr>
  </w:style>
  <w:style w:type="character" w:customStyle="1" w:styleId="Char0">
    <w:name w:val="表 Char"/>
    <w:link w:val="a9"/>
    <w:rsid w:val="005E47D1"/>
    <w:rPr>
      <w:spacing w:val="2"/>
      <w:sz w:val="24"/>
    </w:rPr>
  </w:style>
  <w:style w:type="paragraph" w:customStyle="1" w:styleId="a9">
    <w:name w:val="表"/>
    <w:basedOn w:val="a"/>
    <w:link w:val="Char0"/>
    <w:rsid w:val="005E47D1"/>
    <w:pPr>
      <w:snapToGrid w:val="0"/>
      <w:jc w:val="center"/>
    </w:pPr>
    <w:rPr>
      <w:rFonts w:asciiTheme="minorHAnsi" w:eastAsiaTheme="minorEastAsia" w:hAnsiTheme="minorHAnsi" w:cstheme="minorBidi"/>
      <w:spacing w:val="2"/>
      <w:sz w:val="24"/>
      <w:szCs w:val="22"/>
    </w:rPr>
  </w:style>
  <w:style w:type="paragraph" w:styleId="aa">
    <w:name w:val="List Paragraph"/>
    <w:basedOn w:val="a"/>
    <w:uiPriority w:val="34"/>
    <w:unhideWhenUsed/>
    <w:qFormat/>
    <w:rsid w:val="00097E70"/>
    <w:pPr>
      <w:spacing w:line="360" w:lineRule="auto"/>
      <w:ind w:firstLineChars="200" w:firstLine="420"/>
    </w:pPr>
    <w:rPr>
      <w:rFonts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57163611@qq.com</dc:creator>
  <cp:keywords/>
  <dc:description/>
  <cp:lastModifiedBy>zw h</cp:lastModifiedBy>
  <cp:revision>3</cp:revision>
  <dcterms:created xsi:type="dcterms:W3CDTF">2019-09-11T02:49:00Z</dcterms:created>
  <dcterms:modified xsi:type="dcterms:W3CDTF">2019-09-20T02:45:00Z</dcterms:modified>
</cp:coreProperties>
</file>