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黑体" w:hAnsi="黑体" w:eastAsia="黑体" w:cs="黑体"/>
          <w:b w:val="0"/>
          <w:bCs/>
          <w:color w:val="000000"/>
          <w:sz w:val="32"/>
          <w:szCs w:val="32"/>
        </w:rPr>
      </w:pPr>
      <w:r>
        <w:rPr>
          <w:rFonts w:hint="eastAsia" w:ascii="方正小标宋简体" w:hAnsi="方正小标宋简体" w:eastAsia="方正小标宋简体" w:cs="方正小标宋简体"/>
          <w:b w:val="0"/>
          <w:bCs/>
          <w:snapToGrid w:val="0"/>
          <w:color w:val="000000"/>
          <w:spacing w:val="-11"/>
          <w:sz w:val="36"/>
        </w:rPr>
        <w:t>宁波市公安局北仑分局202</w:t>
      </w:r>
      <w:r>
        <w:rPr>
          <w:rFonts w:hint="eastAsia" w:ascii="方正小标宋简体" w:hAnsi="方正小标宋简体" w:eastAsia="方正小标宋简体" w:cs="方正小标宋简体"/>
          <w:b w:val="0"/>
          <w:bCs/>
          <w:snapToGrid w:val="0"/>
          <w:color w:val="000000"/>
          <w:spacing w:val="-11"/>
          <w:sz w:val="36"/>
          <w:lang w:val="en-US" w:eastAsia="zh-CN"/>
        </w:rPr>
        <w:t>2</w:t>
      </w:r>
      <w:r>
        <w:rPr>
          <w:rFonts w:hint="eastAsia" w:ascii="方正小标宋简体" w:hAnsi="方正小标宋简体" w:eastAsia="方正小标宋简体" w:cs="方正小标宋简体"/>
          <w:b w:val="0"/>
          <w:bCs/>
          <w:snapToGrid w:val="0"/>
          <w:color w:val="000000"/>
          <w:spacing w:val="-11"/>
          <w:sz w:val="36"/>
        </w:rPr>
        <w:t>年度政府信息公开工作年度报告</w:t>
      </w: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总体情况</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val="en-US" w:eastAsia="zh-CN"/>
        </w:rPr>
        <w:t>2022</w:t>
      </w:r>
      <w:r>
        <w:rPr>
          <w:rFonts w:hint="eastAsia" w:ascii="仿宋_GB2312" w:hAnsi="仿宋_GB2312" w:eastAsia="仿宋_GB2312" w:cs="仿宋_GB2312"/>
          <w:b w:val="0"/>
          <w:bCs/>
          <w:color w:val="000000"/>
          <w:sz w:val="32"/>
          <w:szCs w:val="32"/>
        </w:rPr>
        <w:t>年，宁波市公安局北仑分局</w:t>
      </w:r>
      <w:r>
        <w:rPr>
          <w:rFonts w:hint="eastAsia" w:ascii="仿宋_GB2312" w:hAnsi="仿宋_GB2312" w:eastAsia="仿宋_GB2312" w:cs="仿宋_GB2312"/>
          <w:b w:val="0"/>
          <w:bCs/>
          <w:color w:val="000000"/>
          <w:sz w:val="32"/>
          <w:szCs w:val="32"/>
          <w:lang w:eastAsia="zh-CN"/>
        </w:rPr>
        <w:t>持续</w:t>
      </w:r>
      <w:r>
        <w:rPr>
          <w:rFonts w:hint="eastAsia" w:ascii="仿宋_GB2312" w:hAnsi="仿宋_GB2312" w:eastAsia="仿宋_GB2312" w:cs="仿宋_GB2312"/>
          <w:b w:val="0"/>
          <w:bCs/>
          <w:color w:val="000000"/>
          <w:sz w:val="32"/>
          <w:szCs w:val="32"/>
        </w:rPr>
        <w:t>贯彻《中华人民共和国政府信息公开条例》</w:t>
      </w:r>
      <w:r>
        <w:rPr>
          <w:rFonts w:hint="eastAsia" w:ascii="仿宋_GB2312" w:hAnsi="仿宋_GB2312" w:eastAsia="仿宋_GB2312" w:cs="仿宋_GB2312"/>
          <w:b w:val="0"/>
          <w:bCs/>
          <w:color w:val="000000"/>
          <w:sz w:val="32"/>
          <w:szCs w:val="32"/>
          <w:lang w:eastAsia="zh-CN"/>
        </w:rPr>
        <w:t>《中华人民共和国政府信息公开工作年度报告格式》</w:t>
      </w:r>
      <w:r>
        <w:rPr>
          <w:rFonts w:hint="eastAsia" w:ascii="仿宋_GB2312" w:hAnsi="仿宋_GB2312" w:eastAsia="仿宋_GB2312" w:cs="仿宋_GB2312"/>
          <w:b w:val="0"/>
          <w:bCs/>
          <w:color w:val="000000"/>
          <w:sz w:val="32"/>
          <w:szCs w:val="32"/>
        </w:rPr>
        <w:t>的</w:t>
      </w:r>
      <w:r>
        <w:rPr>
          <w:rFonts w:hint="eastAsia" w:ascii="仿宋_GB2312" w:hAnsi="仿宋_GB2312" w:eastAsia="仿宋_GB2312" w:cs="仿宋_GB2312"/>
          <w:b w:val="0"/>
          <w:bCs/>
          <w:color w:val="000000"/>
          <w:sz w:val="32"/>
          <w:szCs w:val="32"/>
          <w:lang w:eastAsia="zh-CN"/>
        </w:rPr>
        <w:t>相关</w:t>
      </w:r>
      <w:r>
        <w:rPr>
          <w:rFonts w:hint="eastAsia" w:ascii="仿宋_GB2312" w:hAnsi="仿宋_GB2312" w:eastAsia="仿宋_GB2312" w:cs="仿宋_GB2312"/>
          <w:b w:val="0"/>
          <w:bCs/>
          <w:color w:val="000000"/>
          <w:sz w:val="32"/>
          <w:szCs w:val="32"/>
        </w:rPr>
        <w:t>规定，加强组织领导，健全工作机制，扎实做好政府信息公开工作</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致力于</w:t>
      </w:r>
      <w:r>
        <w:rPr>
          <w:rFonts w:hint="eastAsia" w:ascii="仿宋_GB2312" w:hAnsi="仿宋_GB2312" w:eastAsia="仿宋_GB2312" w:cs="仿宋_GB2312"/>
          <w:b w:val="0"/>
          <w:bCs/>
          <w:color w:val="000000"/>
          <w:sz w:val="32"/>
          <w:szCs w:val="32"/>
          <w:lang w:eastAsia="zh-CN"/>
        </w:rPr>
        <w:t>全面</w:t>
      </w:r>
      <w:r>
        <w:rPr>
          <w:rFonts w:hint="eastAsia" w:ascii="仿宋_GB2312" w:hAnsi="仿宋_GB2312" w:eastAsia="仿宋_GB2312" w:cs="仿宋_GB2312"/>
          <w:b w:val="0"/>
          <w:bCs/>
          <w:color w:val="000000"/>
          <w:sz w:val="32"/>
          <w:szCs w:val="32"/>
        </w:rPr>
        <w:t>推进发布、解读一体化建设</w:t>
      </w:r>
      <w:r>
        <w:rPr>
          <w:rFonts w:hint="eastAsia" w:ascii="仿宋_GB2312" w:hAnsi="仿宋_GB2312" w:eastAsia="仿宋_GB2312" w:cs="仿宋_GB2312"/>
          <w:b w:val="0"/>
          <w:bCs/>
          <w:color w:val="000000"/>
          <w:sz w:val="32"/>
          <w:szCs w:val="32"/>
          <w:lang w:eastAsia="zh-CN"/>
        </w:rPr>
        <w:t>。宁波市公安局北仑分局不断加强政务公开工作，保障人民群众知情权，主动接受社会和群众的监督，不断强化制度机制和平台建设，使信息公开工作更加及时、透明、完善。</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主动公开</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eastAsia="zh-CN"/>
        </w:rPr>
        <w:t>本年度，宁波市公安局北仑分局继续加强主动公开工作，条目进一步简化，目前“法定主动公开内容”条目分为“组织机构”“法规文件”“财政信息”“人事信息”四块内容，在发布规范方面，宁波市公安局北仑分局加强内容审核力度，分多次审核，严防信息内容不严瑾和词汇表述不规范。在信息更新方面，坚持按时发布工作机制，公布了一定量的重要决策公开信息，</w:t>
      </w:r>
      <w:r>
        <w:rPr>
          <w:rFonts w:hint="eastAsia" w:ascii="仿宋_GB2312" w:hAnsi="仿宋_GB2312" w:eastAsia="仿宋_GB2312" w:cs="仿宋_GB2312"/>
          <w:b w:val="0"/>
          <w:bCs/>
          <w:color w:val="000000"/>
          <w:sz w:val="32"/>
          <w:szCs w:val="32"/>
          <w:lang w:val="en-US" w:eastAsia="zh-CN"/>
        </w:rPr>
        <w:t>今年的公开量较去年全面提升，</w:t>
      </w:r>
      <w:r>
        <w:rPr>
          <w:rFonts w:hint="eastAsia" w:ascii="仿宋_GB2312" w:hAnsi="仿宋_GB2312" w:eastAsia="仿宋_GB2312" w:cs="仿宋_GB2312"/>
          <w:b w:val="0"/>
          <w:bCs/>
          <w:color w:val="000000"/>
          <w:sz w:val="32"/>
          <w:szCs w:val="32"/>
          <w:lang w:eastAsia="zh-CN"/>
        </w:rPr>
        <w:t>包括</w:t>
      </w: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lang w:eastAsia="zh-CN"/>
        </w:rPr>
        <w:t>条部门文件、</w:t>
      </w:r>
      <w:r>
        <w:rPr>
          <w:rFonts w:hint="eastAsia" w:ascii="仿宋_GB2312" w:hAnsi="仿宋_GB2312" w:eastAsia="仿宋_GB2312" w:cs="仿宋_GB2312"/>
          <w:b w:val="0"/>
          <w:bCs/>
          <w:color w:val="000000"/>
          <w:sz w:val="32"/>
          <w:szCs w:val="32"/>
          <w:lang w:val="en-US" w:eastAsia="zh-CN"/>
        </w:rPr>
        <w:t>1条人事信息、6条财政信息、36条政务动态和427条公开公告信息。</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依申请公开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宁波市公安局北仑分局推进主动公开政府信息工作的同时，高度重视政府信息依申请公开工作，在实践中积极探索，积累经验，积极稳妥推进依申请</w:t>
      </w:r>
      <w:bookmarkStart w:id="0" w:name="_GoBack"/>
      <w:bookmarkEnd w:id="0"/>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公开工作。</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宁波市公安局北仑分局本年度共收到依申请公开件</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3件，均成功办结。</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政务信息管理</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本年度，宁波市公安局北仑分局积极推进政务公开、政务服务、政民互动深度融合，充分发挥政务新媒体传播速度快、受众面广、互动性强等优势，不断强化发布、传播、互动、引导、办事等功能，全面推进以“北仑公安”微博、“北仑公安”微信公众号为龙头的政务新媒体建设，全年共发布微信484条、微博9109条，累计阅读量逾千万人次，高效有序推进政务公开工作。</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政府信息公开平台建设</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宁波市公安局北仑分局紧密围绕网站平台建设的要求，不断深化重点领域信息公开，认真做好政策解读、舆情回应和公开平台建设，落实信息公开的各项要求。本年度全面更新了“组织机构”栏目，将“北仑公安”各单位介绍得更加详尽。</w:t>
      </w:r>
    </w:p>
    <w:p>
      <w:pPr>
        <w:pStyle w:val="2"/>
        <w:keepNext w:val="0"/>
        <w:keepLines w:val="0"/>
        <w:pageBreakBefore w:val="0"/>
        <w:widowControl/>
        <w:numPr>
          <w:ilvl w:val="0"/>
          <w:numId w:val="4"/>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监督保障</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宁波市公安局北仑分局及时自查自纠并按期整改完成网站、“两微”等互联网平台信息内容存在的问题，强化信息公开工作考核，安排专人专职，增加网络检查频率，定期开展抽查监督，发现问题立即整改。全年没有发生因政务公开工作被追究责任的情况。</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0"/>
          <w:szCs w:val="30"/>
        </w:rPr>
      </w:pPr>
      <w:r>
        <w:rPr>
          <w:rFonts w:hint="eastAsia" w:ascii="黑体" w:hAnsi="黑体" w:eastAsia="黑体" w:cs="黑体"/>
          <w:color w:val="000000"/>
          <w:sz w:val="32"/>
          <w:szCs w:val="32"/>
          <w:lang w:eastAsia="zh-CN"/>
        </w:rPr>
        <w:t>主动公开政府信息情况</w:t>
      </w:r>
    </w:p>
    <w:tbl>
      <w:tblPr>
        <w:tblStyle w:val="3"/>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492"/>
        <w:gridCol w:w="2268"/>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制发件数</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废止件数</w:t>
            </w:r>
          </w:p>
        </w:tc>
        <w:tc>
          <w:tcPr>
            <w:tcW w:w="220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0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行政</w:t>
            </w:r>
            <w:r>
              <w:rPr>
                <w:rFonts w:hint="eastAsia" w:ascii="仿宋_GB2312" w:hAnsi="仿宋_GB2312" w:eastAsia="仿宋_GB2312" w:cs="仿宋_GB2312"/>
                <w:sz w:val="24"/>
                <w:szCs w:val="24"/>
              </w:rPr>
              <w:t>规范性文件</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08" w:type="dxa"/>
            <w:noWrap w:val="0"/>
            <w:vAlign w:val="center"/>
          </w:tcPr>
          <w:p>
            <w:pPr>
              <w:jc w:val="center"/>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本年</w:t>
            </w: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284056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本年</w:t>
            </w: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outlineLvl w:val="9"/>
        <w:rPr>
          <w:rFonts w:ascii="黑体" w:hAnsi="黑体" w:eastAsia="黑体"/>
          <w:sz w:val="30"/>
          <w:szCs w:val="30"/>
        </w:rPr>
      </w:pPr>
      <w:r>
        <w:rPr>
          <w:rFonts w:hint="eastAsia" w:ascii="黑体" w:hAnsi="黑体" w:eastAsia="黑体" w:cs="黑体"/>
          <w:color w:val="000000"/>
          <w:sz w:val="32"/>
          <w:szCs w:val="32"/>
          <w:lang w:val="en-US" w:eastAsia="zh-CN"/>
        </w:rPr>
        <w:t>三、收到和处理政府信息公开申请情况</w:t>
      </w:r>
    </w:p>
    <w:tbl>
      <w:tblPr>
        <w:tblStyle w:val="3"/>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25"/>
        <w:gridCol w:w="16"/>
        <w:gridCol w:w="2029"/>
        <w:gridCol w:w="839"/>
        <w:gridCol w:w="709"/>
        <w:gridCol w:w="709"/>
        <w:gridCol w:w="800"/>
        <w:gridCol w:w="780"/>
        <w:gridCol w:w="57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ascii="宋体" w:hAnsi="宋体"/>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54" w:type="dxa"/>
            <w:gridSpan w:val="7"/>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ascii="宋体" w:hAnsi="宋体"/>
                <w:sz w:val="18"/>
                <w:szCs w:val="18"/>
              </w:rPr>
            </w:pPr>
          </w:p>
        </w:tc>
        <w:tc>
          <w:tcPr>
            <w:tcW w:w="839"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自然人</w:t>
            </w:r>
          </w:p>
        </w:tc>
        <w:tc>
          <w:tcPr>
            <w:tcW w:w="3568" w:type="dxa"/>
            <w:gridSpan w:val="5"/>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法人或其他组织</w:t>
            </w:r>
          </w:p>
        </w:tc>
        <w:tc>
          <w:tcPr>
            <w:tcW w:w="747"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ascii="宋体" w:hAnsi="宋体"/>
                <w:sz w:val="18"/>
                <w:szCs w:val="18"/>
              </w:rPr>
            </w:pPr>
          </w:p>
        </w:tc>
        <w:tc>
          <w:tcPr>
            <w:tcW w:w="839"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sz w:val="24"/>
                <w:szCs w:val="24"/>
              </w:rPr>
            </w:pP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商业企业</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科研机构</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社会公益组织</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法律服务机构</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其他</w:t>
            </w:r>
          </w:p>
        </w:tc>
        <w:tc>
          <w:tcPr>
            <w:tcW w:w="747"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二、上年转结政府信息公开申请数量</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tabs>
                <w:tab w:val="left" w:pos="233"/>
              </w:tabs>
              <w:kinsoku/>
              <w:wordWrap/>
              <w:overflowPunct/>
              <w:topLinePunct w:val="0"/>
              <w:autoSpaceDE/>
              <w:autoSpaceDN/>
              <w:bidi w:val="0"/>
              <w:spacing w:line="40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3170" w:type="dxa"/>
            <w:gridSpan w:val="3"/>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3170" w:type="dxa"/>
            <w:gridSpan w:val="3"/>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5.要求行政机关确认或重新出具已获取信息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25" w:type="dxa"/>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2045" w:type="dxa"/>
            <w:gridSpan w:val="2"/>
            <w:noWrap w:val="0"/>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1.申请人无正当理由逾期不补正、行政机关不再处理其政府信息公开申请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tabs>
                <w:tab w:val="left" w:pos="263"/>
              </w:tabs>
              <w:kinsoku/>
              <w:wordWrap/>
              <w:overflowPunct/>
              <w:topLinePunct w:val="0"/>
              <w:autoSpaceDE/>
              <w:autoSpaceDN/>
              <w:bidi w:val="0"/>
              <w:spacing w:line="40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2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45" w:type="dxa"/>
            <w:gridSpan w:val="2"/>
            <w:noWrap w:val="0"/>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2.申请人逾期未按收费通知要求缴纳费用、行政机关不再处理其政府信息公开申请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2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45" w:type="dxa"/>
            <w:gridSpan w:val="2"/>
            <w:noWrap w:val="0"/>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3.其他</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3170" w:type="dxa"/>
            <w:gridSpan w:val="3"/>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四、转结下年度继续办理</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numPr>
          <w:ilvl w:val="0"/>
          <w:numId w:val="0"/>
        </w:numPr>
        <w:kinsoku/>
        <w:wordWrap/>
        <w:overflowPunct/>
        <w:topLinePunct w:val="0"/>
        <w:autoSpaceDE/>
        <w:autoSpaceDN/>
        <w:bidi w:val="0"/>
        <w:spacing w:before="312" w:beforeLines="100" w:after="156" w:afterLines="50" w:line="400" w:lineRule="exact"/>
        <w:ind w:firstLine="640" w:firstLineChars="200"/>
        <w:textAlignment w:val="auto"/>
        <w:outlineLvl w:val="0"/>
        <w:rPr>
          <w:rFonts w:hint="eastAsia" w:ascii="黑体" w:hAnsi="黑体" w:eastAsia="黑体"/>
          <w:sz w:val="30"/>
          <w:szCs w:val="30"/>
        </w:rPr>
      </w:pPr>
      <w:r>
        <w:rPr>
          <w:rFonts w:hint="eastAsia" w:ascii="黑体" w:hAnsi="黑体" w:eastAsia="黑体" w:cs="黑体"/>
          <w:snapToGrid w:val="0"/>
          <w:color w:val="000000"/>
          <w:sz w:val="32"/>
          <w:szCs w:val="32"/>
          <w:shd w:val="clear" w:color="auto" w:fill="FFFFFF"/>
          <w:lang w:val="en-US" w:eastAsia="zh-CN"/>
        </w:rPr>
        <w:t>四、政府信息公开行政复议、行政诉讼情况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53"/>
        <w:gridCol w:w="553"/>
        <w:gridCol w:w="520"/>
        <w:gridCol w:w="586"/>
        <w:gridCol w:w="629"/>
        <w:gridCol w:w="477"/>
        <w:gridCol w:w="553"/>
        <w:gridCol w:w="470"/>
        <w:gridCol w:w="636"/>
        <w:gridCol w:w="553"/>
        <w:gridCol w:w="553"/>
        <w:gridCol w:w="553"/>
        <w:gridCol w:w="553"/>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3" w:type="dxa"/>
            <w:gridSpan w:val="5"/>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行政复议</w:t>
            </w:r>
          </w:p>
        </w:tc>
        <w:tc>
          <w:tcPr>
            <w:tcW w:w="6493" w:type="dxa"/>
            <w:gridSpan w:val="10"/>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3" w:type="dxa"/>
            <w:gridSpan w:val="5"/>
            <w:vMerge w:val="continue"/>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p>
        </w:tc>
        <w:tc>
          <w:tcPr>
            <w:tcW w:w="2765" w:type="dxa"/>
            <w:gridSpan w:val="5"/>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未经复议直接起诉</w:t>
            </w:r>
          </w:p>
        </w:tc>
        <w:tc>
          <w:tcPr>
            <w:tcW w:w="3728" w:type="dxa"/>
            <w:gridSpan w:val="5"/>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2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58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6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4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4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63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15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2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8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5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bl>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宋体" w:hAnsi="宋体"/>
          <w:color w:val="000000"/>
          <w:sz w:val="24"/>
        </w:rPr>
      </w:pPr>
      <w:r>
        <w:rPr>
          <w:rFonts w:hint="eastAsia" w:ascii="黑体" w:hAnsi="黑体" w:eastAsia="黑体" w:cs="黑体"/>
          <w:b w:val="0"/>
          <w:bCs/>
          <w:color w:val="000000"/>
          <w:sz w:val="32"/>
          <w:szCs w:val="32"/>
        </w:rPr>
        <w:t>五、存在的主要问题及改进情况</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年度，宁波市公安局北仑分局的政务信息公开工作取得了一定的成就，同时也存在相应的问题：政策解读形式单调，文字解读较多，图解较少；更新内容创新度不够，仅满足于完成基本的更新。接下来，宁波市公安局北仑分局将继续按照统一部署和相关要求，将针对上述提到的问题，认真组织研究改进工作措施，更加积极回应群众的新期待，进一步将政务公开工作做深做细，</w:t>
      </w:r>
      <w:r>
        <w:rPr>
          <w:rFonts w:hint="eastAsia" w:ascii="仿宋_GB2312" w:hAnsi="仿宋_GB2312" w:eastAsia="仿宋_GB2312" w:cs="仿宋_GB2312"/>
          <w:color w:val="000000"/>
          <w:sz w:val="32"/>
          <w:szCs w:val="32"/>
        </w:rPr>
        <w:t>全面提高政府信息公开的质量和水平。</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六、</w:t>
      </w:r>
      <w:r>
        <w:rPr>
          <w:rFonts w:hint="eastAsia" w:ascii="黑体" w:hAnsi="黑体" w:eastAsia="黑体" w:cs="黑体"/>
          <w:b w:val="0"/>
          <w:bCs/>
          <w:color w:val="000000"/>
          <w:sz w:val="32"/>
          <w:szCs w:val="32"/>
        </w:rPr>
        <w:t>其他需要报告的事项</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根据国务院办公厅印发的《政府信息公开信息处理费管理办法》和浙江省政府办公厅、宁波市政府办公厅关于政府信息公开信息处理费收取工作的有关规定，本机关</w:t>
      </w:r>
      <w:r>
        <w:rPr>
          <w:rFonts w:hint="eastAsia" w:ascii="仿宋_GB2312" w:hAnsi="仿宋_GB2312" w:eastAsia="仿宋_GB2312" w:cs="仿宋_GB2312"/>
          <w:color w:val="000000"/>
          <w:sz w:val="32"/>
          <w:szCs w:val="32"/>
        </w:rPr>
        <w:t>全年没有收到超出一定数量或者频次范围的政府信息公开申请，也未对申请人收取信息处理费。特此说明。</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宁波市公安局北仑分局</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年1月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232D7"/>
    <w:multiLevelType w:val="singleLevel"/>
    <w:tmpl w:val="8E6232D7"/>
    <w:lvl w:ilvl="0" w:tentative="0">
      <w:start w:val="2"/>
      <w:numFmt w:val="decimal"/>
      <w:suff w:val="nothing"/>
      <w:lvlText w:val="（%1）"/>
      <w:lvlJc w:val="left"/>
    </w:lvl>
  </w:abstractNum>
  <w:abstractNum w:abstractNumId="1">
    <w:nsid w:val="9A73D350"/>
    <w:multiLevelType w:val="singleLevel"/>
    <w:tmpl w:val="9A73D350"/>
    <w:lvl w:ilvl="0" w:tentative="0">
      <w:start w:val="5"/>
      <w:numFmt w:val="decimal"/>
      <w:suff w:val="nothing"/>
      <w:lvlText w:val="（%1）"/>
      <w:lvlJc w:val="left"/>
    </w:lvl>
  </w:abstractNum>
  <w:abstractNum w:abstractNumId="2">
    <w:nsid w:val="E007AC88"/>
    <w:multiLevelType w:val="singleLevel"/>
    <w:tmpl w:val="E007AC88"/>
    <w:lvl w:ilvl="0" w:tentative="0">
      <w:start w:val="2"/>
      <w:numFmt w:val="chineseCounting"/>
      <w:suff w:val="nothing"/>
      <w:lvlText w:val="%1、"/>
      <w:lvlJc w:val="left"/>
      <w:rPr>
        <w:rFonts w:hint="eastAsia"/>
      </w:rPr>
    </w:lvl>
  </w:abstractNum>
  <w:abstractNum w:abstractNumId="3">
    <w:nsid w:val="405D27DE"/>
    <w:multiLevelType w:val="singleLevel"/>
    <w:tmpl w:val="405D27DE"/>
    <w:lvl w:ilvl="0" w:tentative="0">
      <w:start w:val="1"/>
      <w:numFmt w:val="chineseCounting"/>
      <w:suff w:val="nothing"/>
      <w:lvlText w:val="%1、"/>
      <w:lvlJc w:val="left"/>
      <w:rPr>
        <w:rFonts w:hint="eastAsia"/>
      </w:rPr>
    </w:lvl>
  </w:abstractNum>
  <w:abstractNum w:abstractNumId="4">
    <w:nsid w:val="4DB0F1E0"/>
    <w:multiLevelType w:val="singleLevel"/>
    <w:tmpl w:val="4DB0F1E0"/>
    <w:lvl w:ilvl="0" w:tentative="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NzM1MmU4OWM2NWRhNjM3NGVjNjU3OTg2NjQ2ZjcifQ=="/>
  </w:docVars>
  <w:rsids>
    <w:rsidRoot w:val="00000000"/>
    <w:rsid w:val="041C77CD"/>
    <w:rsid w:val="19936EC7"/>
    <w:rsid w:val="226E672C"/>
    <w:rsid w:val="23DF47B2"/>
    <w:rsid w:val="24ED3EDC"/>
    <w:rsid w:val="2A86796B"/>
    <w:rsid w:val="3807549D"/>
    <w:rsid w:val="41AC7B02"/>
    <w:rsid w:val="45173B67"/>
    <w:rsid w:val="51181348"/>
    <w:rsid w:val="5C317E18"/>
    <w:rsid w:val="67742227"/>
    <w:rsid w:val="69CC76D2"/>
    <w:rsid w:val="6AD03671"/>
    <w:rsid w:val="7408229D"/>
    <w:rsid w:val="7E90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default" w:ascii="Times New Roman" w:hAnsi="Times New Roman" w:eastAsia="宋体" w:cs="Times New Roman"/>
      <w:kern w:val="2"/>
      <w:sz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Lines="0" w:beforeAutospacing="1" w:after="100" w:afterLines="0" w:afterAutospacing="1"/>
      <w:jc w:val="left"/>
    </w:pPr>
    <w:rPr>
      <w:rFonts w:hint="default"/>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2171</Words>
  <Characters>2222</Characters>
  <Lines>0</Lines>
  <Paragraphs>0</Paragraphs>
  <TotalTime>6</TotalTime>
  <ScaleCrop>false</ScaleCrop>
  <LinksUpToDate>false</LinksUpToDate>
  <CharactersWithSpaces>2224</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2022-01-24T02:41:00Z</dcterms:created>
  <dc:creator>Administrator.Micro-2019IRVYQ</dc:creator>
  <cp:lastModifiedBy>Administrator</cp:lastModifiedBy>
  <dcterms:modified xsi:type="dcterms:W3CDTF">2023-01-18T08:52:54Z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24AF177FD28A4944B9E6CBC1F0C3CBE6</vt:lpwstr>
  </property>
</Properties>
</file>