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06" w:rsidRPr="00DE10CD" w:rsidRDefault="005B08EA" w:rsidP="00DE10CD">
      <w:pPr>
        <w:jc w:val="center"/>
        <w:rPr>
          <w:rFonts w:asciiTheme="minorEastAsia" w:hAnsiTheme="minorEastAsia" w:cs="宋体"/>
          <w:kern w:val="0"/>
          <w:sz w:val="30"/>
          <w:szCs w:val="30"/>
          <w:shd w:val="clear" w:color="auto" w:fill="FFFFFF"/>
        </w:rPr>
      </w:pPr>
      <w:r w:rsidRPr="00DE10CD">
        <w:rPr>
          <w:rFonts w:asciiTheme="minorEastAsia" w:hAnsiTheme="minorEastAsia" w:cs="宋体"/>
          <w:kern w:val="0"/>
          <w:sz w:val="30"/>
          <w:szCs w:val="30"/>
          <w:shd w:val="clear" w:color="auto" w:fill="FFFFFF"/>
        </w:rPr>
        <w:t>北仑区国家海洋督察反馈意见</w:t>
      </w:r>
      <w:r w:rsidRPr="00DE10CD">
        <w:rPr>
          <w:rFonts w:asciiTheme="minorEastAsia" w:hAnsiTheme="minorEastAsia" w:cs="宋体" w:hint="eastAsia"/>
          <w:kern w:val="0"/>
          <w:sz w:val="30"/>
          <w:szCs w:val="30"/>
          <w:shd w:val="clear" w:color="auto" w:fill="FFFFFF"/>
        </w:rPr>
        <w:t>（</w:t>
      </w:r>
      <w:r w:rsidR="00C7266C" w:rsidRPr="00DE10CD">
        <w:rPr>
          <w:rFonts w:asciiTheme="minorEastAsia" w:hAnsiTheme="minorEastAsia" w:cs="宋体"/>
          <w:kern w:val="0"/>
          <w:sz w:val="30"/>
          <w:szCs w:val="30"/>
          <w:shd w:val="clear" w:color="auto" w:fill="FFFFFF"/>
        </w:rPr>
        <w:t>问题</w:t>
      </w:r>
      <w:r w:rsidRPr="00DE10CD">
        <w:rPr>
          <w:rFonts w:asciiTheme="minorEastAsia" w:hAnsiTheme="minorEastAsia" w:cs="宋体" w:hint="eastAsia"/>
          <w:kern w:val="0"/>
          <w:sz w:val="30"/>
          <w:szCs w:val="30"/>
          <w:shd w:val="clear" w:color="auto" w:fill="FFFFFF"/>
        </w:rPr>
        <w:t>编号</w:t>
      </w:r>
      <w:r w:rsidR="00C7266C" w:rsidRPr="00DE10CD">
        <w:rPr>
          <w:rFonts w:asciiTheme="minorEastAsia" w:hAnsiTheme="minorEastAsia" w:cs="宋体" w:hint="eastAsia"/>
          <w:kern w:val="0"/>
          <w:sz w:val="30"/>
          <w:szCs w:val="30"/>
          <w:shd w:val="clear" w:color="auto" w:fill="FFFFFF"/>
        </w:rPr>
        <w:t>4、61、62、</w:t>
      </w:r>
      <w:r w:rsidRPr="00DE10CD">
        <w:rPr>
          <w:rFonts w:asciiTheme="minorEastAsia" w:hAnsiTheme="minorEastAsia" w:cs="宋体" w:hint="eastAsia"/>
          <w:kern w:val="0"/>
          <w:sz w:val="30"/>
          <w:szCs w:val="30"/>
          <w:shd w:val="clear" w:color="auto" w:fill="FFFFFF"/>
        </w:rPr>
        <w:t>72、</w:t>
      </w:r>
      <w:r w:rsidR="008C3494" w:rsidRPr="00DE10CD">
        <w:rPr>
          <w:rFonts w:asciiTheme="minorEastAsia" w:hAnsiTheme="minorEastAsia" w:cs="宋体" w:hint="eastAsia"/>
          <w:kern w:val="0"/>
          <w:sz w:val="30"/>
          <w:szCs w:val="30"/>
          <w:shd w:val="clear" w:color="auto" w:fill="FFFFFF"/>
        </w:rPr>
        <w:t>77、</w:t>
      </w:r>
      <w:r w:rsidRPr="00DE10CD">
        <w:rPr>
          <w:rFonts w:asciiTheme="minorEastAsia" w:hAnsiTheme="minorEastAsia" w:cs="宋体" w:hint="eastAsia"/>
          <w:kern w:val="0"/>
          <w:sz w:val="30"/>
          <w:szCs w:val="30"/>
          <w:shd w:val="clear" w:color="auto" w:fill="FFFFFF"/>
        </w:rPr>
        <w:t>82</w:t>
      </w:r>
      <w:r w:rsidR="00C7266C" w:rsidRPr="00DE10CD">
        <w:rPr>
          <w:rFonts w:asciiTheme="minorEastAsia" w:hAnsiTheme="minorEastAsia" w:cs="宋体" w:hint="eastAsia"/>
          <w:kern w:val="0"/>
          <w:sz w:val="30"/>
          <w:szCs w:val="30"/>
          <w:shd w:val="clear" w:color="auto" w:fill="FFFFFF"/>
        </w:rPr>
        <w:t>、86</w:t>
      </w:r>
      <w:r w:rsidRPr="00DE10CD">
        <w:rPr>
          <w:rFonts w:asciiTheme="minorEastAsia" w:hAnsiTheme="minorEastAsia" w:cs="宋体" w:hint="eastAsia"/>
          <w:kern w:val="0"/>
          <w:sz w:val="30"/>
          <w:szCs w:val="30"/>
          <w:shd w:val="clear" w:color="auto" w:fill="FFFFFF"/>
        </w:rPr>
        <w:t>）</w:t>
      </w:r>
    </w:p>
    <w:p w:rsidR="00A90106" w:rsidRPr="00DE10CD" w:rsidRDefault="005B08EA" w:rsidP="00AA4248">
      <w:pPr>
        <w:widowControl/>
        <w:pBdr>
          <w:bottom w:val="single" w:sz="6" w:space="7" w:color="DDDDDD"/>
        </w:pBdr>
        <w:shd w:val="clear" w:color="auto" w:fill="FFFFFF"/>
        <w:spacing w:line="600" w:lineRule="atLeast"/>
        <w:jc w:val="center"/>
        <w:rPr>
          <w:rFonts w:asciiTheme="minorEastAsia" w:hAnsiTheme="minorEastAsia"/>
          <w:sz w:val="30"/>
          <w:szCs w:val="30"/>
        </w:rPr>
      </w:pPr>
      <w:r w:rsidRPr="00DE10CD">
        <w:rPr>
          <w:rFonts w:asciiTheme="minorEastAsia" w:hAnsiTheme="minorEastAsia" w:cs="宋体" w:hint="eastAsia"/>
          <w:kern w:val="0"/>
          <w:sz w:val="30"/>
          <w:szCs w:val="30"/>
          <w:shd w:val="clear" w:color="auto" w:fill="FFFFFF"/>
        </w:rPr>
        <w:t>整改</w:t>
      </w:r>
      <w:r w:rsidRPr="00DE10CD">
        <w:rPr>
          <w:rFonts w:asciiTheme="minorEastAsia" w:hAnsiTheme="minorEastAsia" w:cs="宋体"/>
          <w:kern w:val="0"/>
          <w:sz w:val="30"/>
          <w:szCs w:val="30"/>
          <w:shd w:val="clear" w:color="auto" w:fill="FFFFFF"/>
        </w:rPr>
        <w:t>完成情况的公示</w:t>
      </w:r>
      <w:hyperlink r:id="rId8" w:history="1"/>
      <w:hyperlink r:id="rId9" w:tooltip="分享到QQ空间" w:history="1"/>
      <w:hyperlink r:id="rId10" w:tooltip="分享到新浪微博" w:history="1"/>
      <w:hyperlink r:id="rId11" w:tooltip="分享到微信" w:history="1"/>
      <w:hyperlink r:id="rId12" w:tooltip="分享到人人网" w:history="1"/>
    </w:p>
    <w:p w:rsidR="00A90106" w:rsidRPr="00DE10CD" w:rsidRDefault="00AA4248" w:rsidP="00AA4248">
      <w:pPr>
        <w:pStyle w:val="a3"/>
        <w:widowControl/>
        <w:spacing w:line="480" w:lineRule="atLeast"/>
        <w:rPr>
          <w:rFonts w:asciiTheme="minorEastAsia" w:hAnsiTheme="minorEastAsia" w:cs="宋体"/>
        </w:rPr>
      </w:pPr>
      <w:r>
        <w:rPr>
          <w:rFonts w:asciiTheme="minorEastAsia" w:hAnsiTheme="minorEastAsia" w:cs="宋体" w:hint="eastAsia"/>
          <w:sz w:val="28"/>
          <w:szCs w:val="28"/>
          <w:shd w:val="clear" w:color="auto" w:fill="FFFFFF"/>
        </w:rPr>
        <w:t xml:space="preserve">    </w:t>
      </w:r>
      <w:r w:rsidR="008E7964">
        <w:rPr>
          <w:rFonts w:asciiTheme="minorEastAsia" w:hAnsiTheme="minorEastAsia" w:cs="宋体" w:hint="eastAsia"/>
          <w:sz w:val="28"/>
          <w:szCs w:val="28"/>
          <w:shd w:val="clear" w:color="auto" w:fill="FFFFFF"/>
        </w:rPr>
        <w:t xml:space="preserve"> </w:t>
      </w:r>
      <w:r w:rsidR="00C7266C" w:rsidRPr="00DE10CD">
        <w:rPr>
          <w:rFonts w:asciiTheme="minorEastAsia" w:hAnsiTheme="minorEastAsia" w:cs="宋体" w:hint="eastAsia"/>
          <w:shd w:val="clear" w:color="auto" w:fill="FFFFFF"/>
        </w:rPr>
        <w:t>国家海洋督察</w:t>
      </w:r>
      <w:r w:rsidR="005B08EA" w:rsidRPr="00DE10CD">
        <w:rPr>
          <w:rFonts w:asciiTheme="minorEastAsia" w:hAnsiTheme="minorEastAsia" w:cs="宋体" w:hint="eastAsia"/>
          <w:shd w:val="clear" w:color="auto" w:fill="FFFFFF"/>
        </w:rPr>
        <w:t>反馈意见</w:t>
      </w:r>
      <w:r w:rsidR="00C7266C" w:rsidRPr="00DE10CD">
        <w:rPr>
          <w:rFonts w:asciiTheme="minorEastAsia" w:hAnsiTheme="minorEastAsia" w:cs="宋体" w:hint="eastAsia"/>
          <w:shd w:val="clear" w:color="auto" w:fill="FFFFFF"/>
        </w:rPr>
        <w:t xml:space="preserve"> </w:t>
      </w:r>
      <w:r w:rsidR="005B08EA" w:rsidRPr="00DE10CD">
        <w:rPr>
          <w:rFonts w:asciiTheme="minorEastAsia" w:hAnsiTheme="minorEastAsia" w:cs="宋体" w:hint="eastAsia"/>
          <w:shd w:val="clear" w:color="auto" w:fill="FFFFFF"/>
        </w:rPr>
        <w:t>(</w:t>
      </w:r>
      <w:r w:rsidR="00C7266C" w:rsidRPr="00DE10CD">
        <w:rPr>
          <w:rFonts w:asciiTheme="minorEastAsia" w:hAnsiTheme="minorEastAsia" w:cs="宋体" w:hint="eastAsia"/>
          <w:shd w:val="clear" w:color="auto" w:fill="FFFFFF"/>
        </w:rPr>
        <w:t>问题</w:t>
      </w:r>
      <w:r w:rsidR="005B08EA" w:rsidRPr="00DE10CD">
        <w:rPr>
          <w:rFonts w:asciiTheme="minorEastAsia" w:hAnsiTheme="minorEastAsia" w:cs="宋体" w:hint="eastAsia"/>
          <w:shd w:val="clear" w:color="auto" w:fill="FFFFFF"/>
        </w:rPr>
        <w:t>编号</w:t>
      </w:r>
      <w:r w:rsidR="00C7266C" w:rsidRPr="00DE10CD">
        <w:rPr>
          <w:rFonts w:asciiTheme="minorEastAsia" w:hAnsiTheme="minorEastAsia" w:cs="宋体" w:hint="eastAsia"/>
          <w:shd w:val="clear" w:color="auto" w:fill="FFFFFF"/>
        </w:rPr>
        <w:t>4、61、62、72、82、86</w:t>
      </w:r>
      <w:r w:rsidR="005B08EA" w:rsidRPr="00DE10CD">
        <w:rPr>
          <w:rFonts w:asciiTheme="minorEastAsia" w:hAnsiTheme="minorEastAsia" w:cs="宋体" w:hint="eastAsia"/>
          <w:shd w:val="clear" w:color="auto" w:fill="FFFFFF"/>
        </w:rPr>
        <w:t>)</w:t>
      </w:r>
      <w:r w:rsidRPr="00DE10CD">
        <w:rPr>
          <w:rFonts w:asciiTheme="minorEastAsia" w:hAnsiTheme="minorEastAsia" w:cs="宋体" w:hint="eastAsia"/>
          <w:shd w:val="clear" w:color="auto" w:fill="FFFFFF"/>
        </w:rPr>
        <w:t xml:space="preserve"> 北仑区已完成</w:t>
      </w:r>
      <w:r w:rsidR="005B08EA" w:rsidRPr="00DE10CD">
        <w:rPr>
          <w:rFonts w:asciiTheme="minorEastAsia" w:hAnsiTheme="minorEastAsia" w:cs="宋体" w:hint="eastAsia"/>
          <w:shd w:val="clear" w:color="auto" w:fill="FFFFFF"/>
        </w:rPr>
        <w:t>整改，</w:t>
      </w:r>
      <w:r w:rsidR="00C7266C" w:rsidRPr="00DE10CD">
        <w:rPr>
          <w:rFonts w:asciiTheme="minorEastAsia" w:hAnsiTheme="minorEastAsia" w:cs="宋体" w:hint="eastAsia"/>
          <w:shd w:val="clear" w:color="auto" w:fill="FFFFFF"/>
        </w:rPr>
        <w:t>现将整改情况予以</w:t>
      </w:r>
      <w:r w:rsidR="005B08EA" w:rsidRPr="00DE10CD">
        <w:rPr>
          <w:rFonts w:asciiTheme="minorEastAsia" w:hAnsiTheme="minorEastAsia" w:cs="宋体" w:hint="eastAsia"/>
          <w:shd w:val="clear" w:color="auto" w:fill="FFFFFF"/>
        </w:rPr>
        <w:t>公示，公示时间为2019年5月</w:t>
      </w:r>
      <w:r w:rsidR="00BB670D">
        <w:rPr>
          <w:rFonts w:asciiTheme="minorEastAsia" w:hAnsiTheme="minorEastAsia" w:cs="宋体" w:hint="eastAsia"/>
          <w:shd w:val="clear" w:color="auto" w:fill="FFFFFF"/>
        </w:rPr>
        <w:t>16</w:t>
      </w:r>
      <w:r w:rsidR="005B08EA" w:rsidRPr="00DE10CD">
        <w:rPr>
          <w:rFonts w:asciiTheme="minorEastAsia" w:hAnsiTheme="minorEastAsia" w:cs="宋体" w:hint="eastAsia"/>
          <w:shd w:val="clear" w:color="auto" w:fill="FFFFFF"/>
        </w:rPr>
        <w:t>日至2019年5月</w:t>
      </w:r>
      <w:r w:rsidR="00BB670D">
        <w:rPr>
          <w:rFonts w:asciiTheme="minorEastAsia" w:hAnsiTheme="minorEastAsia" w:cs="宋体" w:hint="eastAsia"/>
          <w:shd w:val="clear" w:color="auto" w:fill="FFFFFF"/>
        </w:rPr>
        <w:t>22</w:t>
      </w:r>
      <w:r w:rsidR="005B08EA" w:rsidRPr="00DE10CD">
        <w:rPr>
          <w:rFonts w:asciiTheme="minorEastAsia" w:hAnsiTheme="minorEastAsia" w:cs="宋体" w:hint="eastAsia"/>
          <w:shd w:val="clear" w:color="auto" w:fill="FFFFFF"/>
        </w:rPr>
        <w:t>日，如有异议，请在公示期内来函来电如实反映。</w:t>
      </w:r>
    </w:p>
    <w:p w:rsidR="00A90106" w:rsidRPr="00DE10CD" w:rsidRDefault="00AA4248">
      <w:pPr>
        <w:pStyle w:val="a3"/>
        <w:widowControl/>
        <w:spacing w:line="480" w:lineRule="atLeast"/>
        <w:rPr>
          <w:rFonts w:asciiTheme="minorEastAsia" w:hAnsiTheme="minorEastAsia"/>
        </w:rPr>
      </w:pPr>
      <w:r w:rsidRPr="00DE10CD">
        <w:rPr>
          <w:rFonts w:asciiTheme="minorEastAsia" w:hAnsiTheme="minorEastAsia" w:hint="eastAsia"/>
          <w:shd w:val="clear" w:color="auto" w:fill="FFFFFF"/>
        </w:rPr>
        <w:t xml:space="preserve">    </w:t>
      </w:r>
      <w:r w:rsidR="005B08EA" w:rsidRPr="00DE10CD">
        <w:rPr>
          <w:rFonts w:asciiTheme="minorEastAsia" w:hAnsiTheme="minorEastAsia"/>
          <w:shd w:val="clear" w:color="auto" w:fill="FFFFFF"/>
        </w:rPr>
        <w:t>电话：</w:t>
      </w:r>
      <w:r w:rsidRPr="00DE10CD">
        <w:rPr>
          <w:rFonts w:asciiTheme="minorEastAsia" w:hAnsiTheme="minorEastAsia" w:hint="eastAsia"/>
          <w:shd w:val="clear" w:color="auto" w:fill="FFFFFF"/>
        </w:rPr>
        <w:t>0574-</w:t>
      </w:r>
      <w:r w:rsidR="00C7266C" w:rsidRPr="00DE10CD">
        <w:rPr>
          <w:rFonts w:asciiTheme="minorEastAsia" w:hAnsiTheme="minorEastAsia" w:hint="eastAsia"/>
          <w:shd w:val="clear" w:color="auto" w:fill="FFFFFF"/>
        </w:rPr>
        <w:t xml:space="preserve">86782360  </w:t>
      </w:r>
      <w:r w:rsidR="005B08EA" w:rsidRPr="00DE10CD">
        <w:rPr>
          <w:rFonts w:asciiTheme="minorEastAsia" w:hAnsiTheme="minorEastAsia"/>
          <w:shd w:val="clear" w:color="auto" w:fill="FFFFFF"/>
        </w:rPr>
        <w:t> 传真：</w:t>
      </w:r>
      <w:r w:rsidRPr="00DE10CD">
        <w:rPr>
          <w:rFonts w:asciiTheme="minorEastAsia" w:hAnsiTheme="minorEastAsia" w:hint="eastAsia"/>
          <w:shd w:val="clear" w:color="auto" w:fill="FFFFFF"/>
        </w:rPr>
        <w:t>0574-</w:t>
      </w:r>
      <w:r w:rsidR="00C7266C" w:rsidRPr="00DE10CD">
        <w:rPr>
          <w:rFonts w:asciiTheme="minorEastAsia" w:hAnsiTheme="minorEastAsia" w:hint="eastAsia"/>
          <w:shd w:val="clear" w:color="auto" w:fill="FFFFFF"/>
        </w:rPr>
        <w:t>86782363</w:t>
      </w:r>
    </w:p>
    <w:p w:rsidR="00A90106" w:rsidRPr="00DE10CD" w:rsidRDefault="005B08EA">
      <w:pPr>
        <w:pStyle w:val="a3"/>
        <w:widowControl/>
        <w:spacing w:line="480" w:lineRule="atLeast"/>
        <w:ind w:firstLine="420"/>
        <w:jc w:val="right"/>
        <w:rPr>
          <w:rFonts w:asciiTheme="minorEastAsia" w:hAnsiTheme="minorEastAsia"/>
        </w:rPr>
      </w:pPr>
      <w:r w:rsidRPr="00DE10CD">
        <w:rPr>
          <w:rFonts w:asciiTheme="minorEastAsia" w:hAnsiTheme="minorEastAsia"/>
          <w:shd w:val="clear" w:color="auto" w:fill="FFFFFF"/>
        </w:rPr>
        <w:t>宁波市北仑区人民政府</w:t>
      </w:r>
    </w:p>
    <w:p w:rsidR="00A90106" w:rsidRPr="00DE10CD" w:rsidRDefault="005B08EA">
      <w:pPr>
        <w:pStyle w:val="a3"/>
        <w:widowControl/>
        <w:spacing w:line="480" w:lineRule="atLeast"/>
        <w:ind w:firstLine="420"/>
        <w:jc w:val="right"/>
        <w:rPr>
          <w:rFonts w:asciiTheme="minorEastAsia" w:hAnsiTheme="minorEastAsia"/>
        </w:rPr>
      </w:pPr>
      <w:r w:rsidRPr="00DE10CD">
        <w:rPr>
          <w:rFonts w:asciiTheme="minorEastAsia" w:hAnsiTheme="minorEastAsia"/>
          <w:shd w:val="clear" w:color="auto" w:fill="FFFFFF"/>
        </w:rPr>
        <w:t>宁波国际海洋生态科技城管委会</w:t>
      </w:r>
    </w:p>
    <w:p w:rsidR="00A90106" w:rsidRPr="00DE10CD" w:rsidRDefault="005B08EA">
      <w:pPr>
        <w:pStyle w:val="a3"/>
        <w:widowControl/>
        <w:spacing w:line="480" w:lineRule="atLeast"/>
        <w:ind w:firstLine="420"/>
        <w:jc w:val="right"/>
        <w:rPr>
          <w:rFonts w:asciiTheme="minorEastAsia" w:hAnsiTheme="minorEastAsia"/>
        </w:rPr>
      </w:pPr>
      <w:r w:rsidRPr="00DE10CD">
        <w:rPr>
          <w:rFonts w:asciiTheme="minorEastAsia" w:hAnsiTheme="minorEastAsia"/>
          <w:shd w:val="clear" w:color="auto" w:fill="FFFFFF"/>
        </w:rPr>
        <w:t>2019年</w:t>
      </w:r>
      <w:r w:rsidRPr="00DE10CD">
        <w:rPr>
          <w:rFonts w:asciiTheme="minorEastAsia" w:hAnsiTheme="minorEastAsia" w:hint="eastAsia"/>
          <w:shd w:val="clear" w:color="auto" w:fill="FFFFFF"/>
        </w:rPr>
        <w:t>5</w:t>
      </w:r>
      <w:r w:rsidRPr="00DE10CD">
        <w:rPr>
          <w:rFonts w:asciiTheme="minorEastAsia" w:hAnsiTheme="minorEastAsia"/>
          <w:shd w:val="clear" w:color="auto" w:fill="FFFFFF"/>
        </w:rPr>
        <w:t>月</w:t>
      </w:r>
      <w:r w:rsidR="00BB670D">
        <w:rPr>
          <w:rFonts w:asciiTheme="minorEastAsia" w:hAnsiTheme="minorEastAsia" w:hint="eastAsia"/>
          <w:shd w:val="clear" w:color="auto" w:fill="FFFFFF"/>
        </w:rPr>
        <w:t>16</w:t>
      </w:r>
      <w:r w:rsidRPr="00DE10CD">
        <w:rPr>
          <w:rFonts w:asciiTheme="minorEastAsia" w:hAnsiTheme="minorEastAsia"/>
          <w:shd w:val="clear" w:color="auto" w:fill="FFFFFF"/>
        </w:rPr>
        <w:t>日</w:t>
      </w:r>
    </w:p>
    <w:p w:rsidR="00A90106" w:rsidRPr="0037229D" w:rsidRDefault="00A90106">
      <w:pPr>
        <w:jc w:val="center"/>
        <w:rPr>
          <w:rFonts w:asciiTheme="minorEastAsia" w:hAnsiTheme="minorEastAsia"/>
          <w:sz w:val="10"/>
          <w:szCs w:val="10"/>
        </w:rPr>
      </w:pPr>
    </w:p>
    <w:tbl>
      <w:tblPr>
        <w:tblW w:w="14065" w:type="dxa"/>
        <w:tblInd w:w="78" w:type="dxa"/>
        <w:tblLayout w:type="fixed"/>
        <w:tblLook w:val="04A0"/>
      </w:tblPr>
      <w:tblGrid>
        <w:gridCol w:w="881"/>
        <w:gridCol w:w="1984"/>
        <w:gridCol w:w="1985"/>
        <w:gridCol w:w="5558"/>
        <w:gridCol w:w="3657"/>
      </w:tblGrid>
      <w:tr w:rsidR="002734B9" w:rsidRPr="00DE10CD" w:rsidTr="00DE10CD">
        <w:trPr>
          <w:trHeight w:val="502"/>
        </w:trPr>
        <w:tc>
          <w:tcPr>
            <w:tcW w:w="881"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pPr>
              <w:jc w:val="center"/>
              <w:rPr>
                <w:rFonts w:asciiTheme="minorEastAsia" w:hAnsiTheme="minorEastAsia"/>
                <w:szCs w:val="21"/>
              </w:rPr>
            </w:pPr>
            <w:r w:rsidRPr="00DE10CD">
              <w:rPr>
                <w:rFonts w:asciiTheme="minorEastAsia" w:hAnsiTheme="minorEastAsia" w:hint="eastAsia"/>
                <w:szCs w:val="21"/>
              </w:rPr>
              <w:t>省序号</w:t>
            </w:r>
          </w:p>
        </w:tc>
        <w:tc>
          <w:tcPr>
            <w:tcW w:w="1984"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pPr>
              <w:jc w:val="center"/>
              <w:rPr>
                <w:rFonts w:asciiTheme="minorEastAsia" w:hAnsiTheme="minorEastAsia"/>
                <w:szCs w:val="21"/>
              </w:rPr>
            </w:pPr>
            <w:r w:rsidRPr="00DE10CD">
              <w:rPr>
                <w:rFonts w:asciiTheme="minorEastAsia" w:hAnsiTheme="minorEastAsia" w:hint="eastAsia"/>
                <w:szCs w:val="21"/>
              </w:rPr>
              <w:t>整改任务</w:t>
            </w:r>
          </w:p>
        </w:tc>
        <w:tc>
          <w:tcPr>
            <w:tcW w:w="1985"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pPr>
              <w:jc w:val="center"/>
              <w:rPr>
                <w:rFonts w:asciiTheme="minorEastAsia" w:hAnsiTheme="minorEastAsia"/>
                <w:szCs w:val="21"/>
              </w:rPr>
            </w:pPr>
            <w:r w:rsidRPr="00DE10CD">
              <w:rPr>
                <w:rFonts w:asciiTheme="minorEastAsia" w:hAnsiTheme="minorEastAsia" w:hint="eastAsia"/>
                <w:szCs w:val="21"/>
              </w:rPr>
              <w:t>整改目标</w:t>
            </w:r>
          </w:p>
        </w:tc>
        <w:tc>
          <w:tcPr>
            <w:tcW w:w="5558"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pPr>
              <w:jc w:val="center"/>
              <w:rPr>
                <w:rFonts w:asciiTheme="minorEastAsia" w:hAnsiTheme="minorEastAsia"/>
                <w:szCs w:val="21"/>
              </w:rPr>
            </w:pPr>
            <w:r w:rsidRPr="00DE10CD">
              <w:rPr>
                <w:rFonts w:asciiTheme="minorEastAsia" w:hAnsiTheme="minorEastAsia" w:hint="eastAsia"/>
                <w:szCs w:val="21"/>
              </w:rPr>
              <w:t>整改措施</w:t>
            </w:r>
          </w:p>
        </w:tc>
        <w:tc>
          <w:tcPr>
            <w:tcW w:w="3657"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pPr>
              <w:jc w:val="center"/>
              <w:rPr>
                <w:rFonts w:asciiTheme="minorEastAsia" w:hAnsiTheme="minorEastAsia"/>
                <w:szCs w:val="21"/>
              </w:rPr>
            </w:pPr>
            <w:r w:rsidRPr="00DE10CD">
              <w:rPr>
                <w:rFonts w:asciiTheme="minorEastAsia" w:hAnsiTheme="minorEastAsia" w:hint="eastAsia"/>
                <w:szCs w:val="21"/>
              </w:rPr>
              <w:t>完成情况</w:t>
            </w:r>
          </w:p>
        </w:tc>
      </w:tr>
      <w:tr w:rsidR="002734B9" w:rsidRPr="00DE10CD" w:rsidTr="00DE10CD">
        <w:trPr>
          <w:trHeight w:val="799"/>
        </w:trPr>
        <w:tc>
          <w:tcPr>
            <w:tcW w:w="881"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4</w:t>
            </w:r>
          </w:p>
        </w:tc>
        <w:tc>
          <w:tcPr>
            <w:tcW w:w="1984"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2012年以来，宁波市14个项目违规进行用海项目备案登记，面积1757.49公顷，其中北仑1个。</w:t>
            </w:r>
          </w:p>
        </w:tc>
        <w:tc>
          <w:tcPr>
            <w:tcW w:w="1985"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179A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严格执行海域使用管理法律法</w:t>
            </w:r>
            <w:r w:rsidR="002734B9" w:rsidRPr="00DE10CD">
              <w:rPr>
                <w:rFonts w:asciiTheme="minorEastAsia" w:hAnsiTheme="minorEastAsia" w:hint="eastAsia"/>
                <w:snapToGrid w:val="0"/>
                <w:color w:val="000000"/>
                <w:spacing w:val="-4"/>
                <w:szCs w:val="21"/>
              </w:rPr>
              <w:t>规，将公共用海纳入海域使用权管理。</w:t>
            </w:r>
          </w:p>
        </w:tc>
        <w:tc>
          <w:tcPr>
            <w:tcW w:w="5558"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1、严格执行《海域使用管理法》，停止公共用海备案登记。</w:t>
            </w:r>
          </w:p>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2、对已备案登记项目，根据《海域使用管理法》管理要求，办理确权登记，发放海域不动产权证。</w:t>
            </w:r>
          </w:p>
        </w:tc>
        <w:tc>
          <w:tcPr>
            <w:tcW w:w="3657"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1、停止公共用海备案登记。</w:t>
            </w:r>
          </w:p>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2、对备案登记项目，已办理确权登记，发放海域不动产权证。</w:t>
            </w:r>
          </w:p>
        </w:tc>
      </w:tr>
      <w:tr w:rsidR="002734B9" w:rsidRPr="00DE10CD" w:rsidTr="00DE10CD">
        <w:trPr>
          <w:trHeight w:val="799"/>
        </w:trPr>
        <w:tc>
          <w:tcPr>
            <w:tcW w:w="881"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61</w:t>
            </w:r>
          </w:p>
        </w:tc>
        <w:tc>
          <w:tcPr>
            <w:tcW w:w="1984"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179A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截至督察组进驻时，全省近岸海域汇水区域尚有15个城镇污水处理厂未完成一级A提标改造。</w:t>
            </w:r>
          </w:p>
        </w:tc>
        <w:tc>
          <w:tcPr>
            <w:tcW w:w="1985" w:type="dxa"/>
            <w:tcBorders>
              <w:top w:val="single" w:sz="6" w:space="0" w:color="auto"/>
              <w:left w:val="single" w:sz="6" w:space="0" w:color="auto"/>
              <w:bottom w:val="single" w:sz="6" w:space="0" w:color="auto"/>
              <w:right w:val="single" w:sz="6" w:space="0" w:color="auto"/>
              <w:tl2br w:val="nil"/>
              <w:tr2bl w:val="nil"/>
            </w:tcBorders>
          </w:tcPr>
          <w:p w:rsidR="005A4AE3" w:rsidRPr="00DE10CD" w:rsidRDefault="005A4AE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完成一级A提标改造，基本实现出水达到一级A排放标准。</w:t>
            </w:r>
          </w:p>
        </w:tc>
        <w:tc>
          <w:tcPr>
            <w:tcW w:w="5558" w:type="dxa"/>
            <w:tcBorders>
              <w:top w:val="single" w:sz="6" w:space="0" w:color="auto"/>
              <w:left w:val="single" w:sz="6" w:space="0" w:color="auto"/>
              <w:bottom w:val="single" w:sz="6" w:space="0" w:color="auto"/>
              <w:right w:val="single" w:sz="6" w:space="0" w:color="auto"/>
              <w:tl2br w:val="nil"/>
              <w:tr2bl w:val="nil"/>
            </w:tcBorders>
          </w:tcPr>
          <w:p w:rsidR="005A4AE3" w:rsidRPr="00DE10CD" w:rsidRDefault="005A4AE3" w:rsidP="005A4AE3">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1、加快调试投运。对已实施提标改造的污水处理厂，加快设备调试运行。</w:t>
            </w:r>
          </w:p>
          <w:p w:rsidR="005A4AE3" w:rsidRPr="00DE10CD" w:rsidRDefault="005A4AE3" w:rsidP="005A4AE3">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2、强化长效管理。加强已建污水处理厂的运营管理及纳管工业企业等重点排水户的日常监管，对存在影响污水处理厂正常运行的违法行为，依法严厉查处，确保污水处理厂安全运行、稳定达标。</w:t>
            </w:r>
          </w:p>
          <w:p w:rsidR="002734B9" w:rsidRPr="00DE10CD" w:rsidRDefault="005A4AE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lastRenderedPageBreak/>
              <w:t>3、严格目标考核。严格实施国家《水污染防治行动计划》，将污水处理厂提标改造整改任务作为年度考核重要内容，实行现场检查和季度通报，全面解决污水处理厂水质提升行动中的各项问题。</w:t>
            </w:r>
          </w:p>
        </w:tc>
        <w:tc>
          <w:tcPr>
            <w:tcW w:w="3657" w:type="dxa"/>
            <w:tcBorders>
              <w:top w:val="single" w:sz="6" w:space="0" w:color="auto"/>
              <w:left w:val="single" w:sz="6" w:space="0" w:color="auto"/>
              <w:bottom w:val="single" w:sz="6" w:space="0" w:color="auto"/>
              <w:right w:val="single" w:sz="6" w:space="0" w:color="auto"/>
              <w:tl2br w:val="nil"/>
              <w:tr2bl w:val="nil"/>
            </w:tcBorders>
          </w:tcPr>
          <w:p w:rsidR="00D70B7F" w:rsidRPr="00DE10CD" w:rsidRDefault="005A4AE3" w:rsidP="005A4AE3">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lastRenderedPageBreak/>
              <w:t>1、</w:t>
            </w:r>
            <w:r w:rsidR="00D70B7F" w:rsidRPr="00DE10CD">
              <w:rPr>
                <w:rFonts w:asciiTheme="minorEastAsia" w:hAnsiTheme="minorEastAsia" w:hint="eastAsia"/>
                <w:snapToGrid w:val="0"/>
                <w:color w:val="000000"/>
                <w:spacing w:val="-4"/>
                <w:szCs w:val="21"/>
              </w:rPr>
              <w:t>2018年6月底前，北仑小港污水处理厂、岩东污水处理厂完成提标改造，出水水质稳定达到一级A排放标准，并于2018年7月提交销号，后期运行稳定。</w:t>
            </w:r>
          </w:p>
          <w:p w:rsidR="005A4AE3" w:rsidRPr="00DE10CD" w:rsidRDefault="005A4AE3" w:rsidP="005A4AE3">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2、强化长效管理。加强已建污水处理厂的运营管理及纳管工业企业等重点排水</w:t>
            </w:r>
            <w:r w:rsidRPr="00DE10CD">
              <w:rPr>
                <w:rFonts w:asciiTheme="minorEastAsia" w:hAnsiTheme="minorEastAsia" w:hint="eastAsia"/>
                <w:snapToGrid w:val="0"/>
                <w:color w:val="000000"/>
                <w:spacing w:val="-4"/>
                <w:szCs w:val="21"/>
              </w:rPr>
              <w:lastRenderedPageBreak/>
              <w:t>户的日常监管。</w:t>
            </w:r>
          </w:p>
          <w:p w:rsidR="002734B9" w:rsidRPr="00DE10CD" w:rsidRDefault="005A4AE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3、严格目标考核。污水处理厂运行管理纳入考核机制，建立督查制度。</w:t>
            </w:r>
          </w:p>
        </w:tc>
      </w:tr>
      <w:tr w:rsidR="002734B9" w:rsidRPr="00DE10CD" w:rsidTr="00DE10CD">
        <w:trPr>
          <w:trHeight w:val="799"/>
        </w:trPr>
        <w:tc>
          <w:tcPr>
            <w:tcW w:w="881"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lastRenderedPageBreak/>
              <w:t>62</w:t>
            </w:r>
          </w:p>
        </w:tc>
        <w:tc>
          <w:tcPr>
            <w:tcW w:w="1984"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179A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截至督察组进驻时，宁波市近岸海域汇水区域尚有5个城镇污水处理厂未完成一级A提标改造。</w:t>
            </w:r>
          </w:p>
        </w:tc>
        <w:tc>
          <w:tcPr>
            <w:tcW w:w="1985"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5A4AE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加快提标改造和建设投运，强化长效监管。</w:t>
            </w:r>
          </w:p>
        </w:tc>
        <w:tc>
          <w:tcPr>
            <w:tcW w:w="5558" w:type="dxa"/>
            <w:tcBorders>
              <w:top w:val="single" w:sz="6" w:space="0" w:color="auto"/>
              <w:left w:val="single" w:sz="6" w:space="0" w:color="auto"/>
              <w:bottom w:val="single" w:sz="6" w:space="0" w:color="auto"/>
              <w:right w:val="single" w:sz="6" w:space="0" w:color="auto"/>
              <w:tl2br w:val="nil"/>
              <w:tr2bl w:val="nil"/>
            </w:tcBorders>
          </w:tcPr>
          <w:p w:rsidR="005A4AE3" w:rsidRPr="00DE10CD" w:rsidRDefault="005A4AE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1、2018年9月底前，已完成污水处理厂一级A提标改造，出水稳定达到一级A排放。</w:t>
            </w:r>
          </w:p>
          <w:p w:rsidR="005A4AE3" w:rsidRPr="00DE10CD" w:rsidRDefault="005A4AE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2、强化长效监管。加强对已建污水处理厂运营管理及纳管工业企业等重点排水户的监管，严厉查处影响污水处理厂运行的违法行为，确保污水处理厂安全运行、稳定达标。</w:t>
            </w:r>
          </w:p>
          <w:p w:rsidR="002734B9" w:rsidRPr="00DE10CD" w:rsidRDefault="005A4AE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3.严格目标管理。全面落实《浙江省水污染防治行动计划》和《宁波市水污染防治行动计划》，将污水处理厂提标改造建设任务纳入市政府年度工作重要内容，强化督查通报制度。</w:t>
            </w:r>
          </w:p>
        </w:tc>
        <w:tc>
          <w:tcPr>
            <w:tcW w:w="3657" w:type="dxa"/>
            <w:tcBorders>
              <w:top w:val="single" w:sz="6" w:space="0" w:color="auto"/>
              <w:left w:val="single" w:sz="6" w:space="0" w:color="auto"/>
              <w:bottom w:val="single" w:sz="6" w:space="0" w:color="auto"/>
              <w:right w:val="single" w:sz="6" w:space="0" w:color="auto"/>
              <w:tl2br w:val="nil"/>
              <w:tr2bl w:val="nil"/>
            </w:tcBorders>
          </w:tcPr>
          <w:p w:rsidR="00AA2749" w:rsidRPr="00DE10CD" w:rsidRDefault="00AA2749" w:rsidP="00AA2749">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1、2018年6月底前，北仑小港污水处理厂、岩东污水处理厂完成提标改造，出水水质稳定达到一级A排放标准，并于2018年7月提交销号，后期运行稳定。</w:t>
            </w:r>
          </w:p>
          <w:p w:rsidR="005A4AE3" w:rsidRPr="00DE10CD" w:rsidRDefault="005A4AE3" w:rsidP="005A4AE3">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2、强化长效管理。加强已建污水处理厂的运营管理及纳管工业企业等重点排水户的日常监管。</w:t>
            </w:r>
          </w:p>
          <w:p w:rsidR="002734B9" w:rsidRPr="00DE10CD" w:rsidRDefault="005A4AE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3、严格目标考核。污水处理厂运行管理纳入考核机制，建立督查制度。</w:t>
            </w:r>
          </w:p>
        </w:tc>
      </w:tr>
      <w:tr w:rsidR="002734B9" w:rsidRPr="00DE10CD" w:rsidTr="00DE10CD">
        <w:trPr>
          <w:trHeight w:val="1550"/>
        </w:trPr>
        <w:tc>
          <w:tcPr>
            <w:tcW w:w="881"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72</w:t>
            </w:r>
          </w:p>
        </w:tc>
        <w:tc>
          <w:tcPr>
            <w:tcW w:w="1984" w:type="dxa"/>
            <w:tcBorders>
              <w:top w:val="single" w:sz="6" w:space="0" w:color="auto"/>
              <w:left w:val="single" w:sz="6" w:space="0" w:color="auto"/>
              <w:bottom w:val="single" w:sz="6" w:space="0" w:color="auto"/>
              <w:right w:val="single" w:sz="6" w:space="0" w:color="auto"/>
              <w:tl2br w:val="nil"/>
              <w:tr2bl w:val="nil"/>
            </w:tcBorders>
          </w:tcPr>
          <w:p w:rsidR="00626F2A" w:rsidRPr="00DE10CD" w:rsidRDefault="00626F2A"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2012年以来，宁波市78个填海项目未落实海洋环境跟踪监测，其中北仑区4个。</w:t>
            </w:r>
          </w:p>
        </w:tc>
        <w:tc>
          <w:tcPr>
            <w:tcW w:w="1985" w:type="dxa"/>
            <w:tcBorders>
              <w:top w:val="single" w:sz="6" w:space="0" w:color="auto"/>
              <w:left w:val="single" w:sz="6" w:space="0" w:color="auto"/>
              <w:bottom w:val="single" w:sz="6" w:space="0" w:color="auto"/>
              <w:right w:val="single" w:sz="6" w:space="0" w:color="auto"/>
              <w:tl2br w:val="nil"/>
              <w:tr2bl w:val="nil"/>
            </w:tcBorders>
          </w:tcPr>
          <w:p w:rsidR="00626F2A" w:rsidRPr="00DE10CD" w:rsidRDefault="00626F2A"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落实海洋环境跟踪监测要求，杜绝类似情况发生。</w:t>
            </w:r>
          </w:p>
        </w:tc>
        <w:tc>
          <w:tcPr>
            <w:tcW w:w="5558"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1、严格按照海洋环评报告或生态评估要求，督促项目建设单位落实海洋环境跟踪监测措施。</w:t>
            </w:r>
          </w:p>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2、加强未开工项目的监督管理，严格按照环评报告要求做好海洋环境跟踪监测工作。</w:t>
            </w:r>
          </w:p>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3、加强项目的事中事后监管。</w:t>
            </w:r>
          </w:p>
        </w:tc>
        <w:tc>
          <w:tcPr>
            <w:tcW w:w="3657"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1、在2019年3月前已完成4个项目海洋环境影响评估报告的评审。                            2、</w:t>
            </w:r>
            <w:r w:rsidR="00626F2A" w:rsidRPr="00DE10CD">
              <w:rPr>
                <w:rFonts w:asciiTheme="minorEastAsia" w:hAnsiTheme="minorEastAsia" w:hint="eastAsia"/>
                <w:snapToGrid w:val="0"/>
                <w:color w:val="000000"/>
                <w:spacing w:val="-4"/>
                <w:szCs w:val="21"/>
              </w:rPr>
              <w:t xml:space="preserve">落实项目事中事后监管。                        </w:t>
            </w:r>
          </w:p>
        </w:tc>
      </w:tr>
      <w:tr w:rsidR="008C3494" w:rsidRPr="00DE10CD" w:rsidTr="00DE10CD">
        <w:trPr>
          <w:trHeight w:val="1545"/>
        </w:trPr>
        <w:tc>
          <w:tcPr>
            <w:tcW w:w="881" w:type="dxa"/>
            <w:tcBorders>
              <w:top w:val="single" w:sz="6" w:space="0" w:color="auto"/>
              <w:left w:val="single" w:sz="6" w:space="0" w:color="auto"/>
              <w:bottom w:val="single" w:sz="6" w:space="0" w:color="auto"/>
              <w:right w:val="single" w:sz="6" w:space="0" w:color="auto"/>
              <w:tl2br w:val="nil"/>
              <w:tr2bl w:val="nil"/>
            </w:tcBorders>
          </w:tcPr>
          <w:p w:rsidR="008C3494" w:rsidRPr="00DE10CD" w:rsidRDefault="008C3494"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77</w:t>
            </w:r>
          </w:p>
        </w:tc>
        <w:tc>
          <w:tcPr>
            <w:tcW w:w="1984" w:type="dxa"/>
            <w:tcBorders>
              <w:top w:val="single" w:sz="6" w:space="0" w:color="auto"/>
              <w:left w:val="single" w:sz="6" w:space="0" w:color="auto"/>
              <w:bottom w:val="single" w:sz="6" w:space="0" w:color="auto"/>
              <w:right w:val="single" w:sz="6" w:space="0" w:color="auto"/>
              <w:tl2br w:val="nil"/>
              <w:tr2bl w:val="nil"/>
            </w:tcBorders>
          </w:tcPr>
          <w:p w:rsidR="008C3494" w:rsidRPr="00DE10CD" w:rsidRDefault="008C3494"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事中事后监管不到位。2012年以来，宁波市30个填海项目未落实水环境保护措施，其中北仑2个。</w:t>
            </w:r>
          </w:p>
        </w:tc>
        <w:tc>
          <w:tcPr>
            <w:tcW w:w="1985" w:type="dxa"/>
            <w:tcBorders>
              <w:top w:val="single" w:sz="6" w:space="0" w:color="auto"/>
              <w:left w:val="single" w:sz="6" w:space="0" w:color="auto"/>
              <w:bottom w:val="single" w:sz="6" w:space="0" w:color="auto"/>
              <w:right w:val="single" w:sz="6" w:space="0" w:color="auto"/>
              <w:tl2br w:val="nil"/>
              <w:tr2bl w:val="nil"/>
            </w:tcBorders>
          </w:tcPr>
          <w:p w:rsidR="008C3494" w:rsidRPr="00DE10CD" w:rsidRDefault="008C3494"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落实水环境保护措施，杜绝类似情况发生。</w:t>
            </w:r>
          </w:p>
        </w:tc>
        <w:tc>
          <w:tcPr>
            <w:tcW w:w="5558" w:type="dxa"/>
            <w:tcBorders>
              <w:top w:val="single" w:sz="6" w:space="0" w:color="auto"/>
              <w:left w:val="single" w:sz="6" w:space="0" w:color="auto"/>
              <w:bottom w:val="single" w:sz="6" w:space="0" w:color="auto"/>
              <w:right w:val="single" w:sz="6" w:space="0" w:color="auto"/>
              <w:tl2br w:val="nil"/>
              <w:tr2bl w:val="nil"/>
            </w:tcBorders>
          </w:tcPr>
          <w:p w:rsidR="008C3494" w:rsidRPr="00DE10CD" w:rsidRDefault="008C3494"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1、严格按照海洋环评报告或生态评估要求，督促项目建设单位落实水环境保护措施。</w:t>
            </w:r>
          </w:p>
          <w:p w:rsidR="008C3494" w:rsidRPr="00DE10CD" w:rsidRDefault="008C3494"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2、加强未开工项目的监督管理，严格按照环评报告要求做好环境保护工作。</w:t>
            </w:r>
          </w:p>
          <w:p w:rsidR="008C3494" w:rsidRPr="00DE10CD" w:rsidRDefault="008C3494"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3、加强项目的事中事后监管。</w:t>
            </w:r>
          </w:p>
        </w:tc>
        <w:tc>
          <w:tcPr>
            <w:tcW w:w="3657" w:type="dxa"/>
            <w:tcBorders>
              <w:top w:val="single" w:sz="6" w:space="0" w:color="auto"/>
              <w:left w:val="single" w:sz="6" w:space="0" w:color="auto"/>
              <w:bottom w:val="single" w:sz="6" w:space="0" w:color="auto"/>
              <w:right w:val="single" w:sz="6" w:space="0" w:color="auto"/>
              <w:tl2br w:val="nil"/>
              <w:tr2bl w:val="nil"/>
            </w:tcBorders>
          </w:tcPr>
          <w:p w:rsidR="008C3494" w:rsidRPr="00DE10CD" w:rsidRDefault="008C3494"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1、在2019年3月前已完成2个项目海洋环境影响评估报告的评审。                            2、落实项目事中事后监管。</w:t>
            </w:r>
          </w:p>
        </w:tc>
      </w:tr>
      <w:tr w:rsidR="002734B9" w:rsidRPr="00DE10CD" w:rsidTr="00927BFF">
        <w:trPr>
          <w:trHeight w:val="1686"/>
        </w:trPr>
        <w:tc>
          <w:tcPr>
            <w:tcW w:w="881"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lastRenderedPageBreak/>
              <w:t>82</w:t>
            </w:r>
          </w:p>
        </w:tc>
        <w:tc>
          <w:tcPr>
            <w:tcW w:w="1984"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626F2A"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2012年以来，宁波市101个填海项目未落实生态补偿，其中</w:t>
            </w:r>
            <w:r w:rsidR="002734B9" w:rsidRPr="00DE10CD">
              <w:rPr>
                <w:rFonts w:asciiTheme="minorEastAsia" w:hAnsiTheme="minorEastAsia" w:hint="eastAsia"/>
                <w:snapToGrid w:val="0"/>
                <w:color w:val="000000"/>
                <w:spacing w:val="-4"/>
                <w:szCs w:val="21"/>
              </w:rPr>
              <w:t>北仑区13个</w:t>
            </w:r>
            <w:r w:rsidRPr="00DE10CD">
              <w:rPr>
                <w:rFonts w:asciiTheme="minorEastAsia" w:hAnsiTheme="minorEastAsia" w:hint="eastAsia"/>
                <w:snapToGrid w:val="0"/>
                <w:color w:val="000000"/>
                <w:spacing w:val="-4"/>
                <w:szCs w:val="21"/>
              </w:rPr>
              <w:t>。</w:t>
            </w:r>
          </w:p>
        </w:tc>
        <w:tc>
          <w:tcPr>
            <w:tcW w:w="1985" w:type="dxa"/>
            <w:tcBorders>
              <w:top w:val="single" w:sz="6" w:space="0" w:color="auto"/>
              <w:left w:val="single" w:sz="6" w:space="0" w:color="auto"/>
              <w:bottom w:val="single" w:sz="6" w:space="0" w:color="auto"/>
              <w:right w:val="single" w:sz="6" w:space="0" w:color="auto"/>
              <w:tl2br w:val="nil"/>
              <w:tr2bl w:val="nil"/>
            </w:tcBorders>
          </w:tcPr>
          <w:p w:rsidR="00626F2A" w:rsidRPr="00DE10CD" w:rsidRDefault="00626F2A"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督促落实生态补偿要求，杜绝类似情况再次发生。</w:t>
            </w:r>
          </w:p>
        </w:tc>
        <w:tc>
          <w:tcPr>
            <w:tcW w:w="5558" w:type="dxa"/>
            <w:tcBorders>
              <w:top w:val="single" w:sz="6" w:space="0" w:color="auto"/>
              <w:left w:val="single" w:sz="6" w:space="0" w:color="auto"/>
              <w:bottom w:val="single" w:sz="6" w:space="0" w:color="auto"/>
              <w:right w:val="single" w:sz="6" w:space="0" w:color="auto"/>
              <w:tl2br w:val="nil"/>
              <w:tr2bl w:val="nil"/>
            </w:tcBorders>
          </w:tcPr>
          <w:p w:rsidR="00626F2A" w:rsidRPr="00DE10CD" w:rsidRDefault="00626F2A" w:rsidP="00626F2A">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 对海洋功能区划内的填海项目，责成海域使用权人落实海洋生态补偿要求。</w:t>
            </w:r>
          </w:p>
          <w:p w:rsidR="00626F2A" w:rsidRPr="00DE10CD" w:rsidRDefault="00626F2A" w:rsidP="00626F2A">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4.已签订海洋生态补偿协议未实施的，按照协议实施。</w:t>
            </w:r>
          </w:p>
          <w:p w:rsidR="002734B9" w:rsidRPr="00DE10CD" w:rsidRDefault="00626F2A"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5.未签订海洋生态补偿协议的，2019年3月底前签订协议并督促尽快落实到位。</w:t>
            </w:r>
          </w:p>
        </w:tc>
        <w:tc>
          <w:tcPr>
            <w:tcW w:w="3657"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rsidP="00927BFF">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w:t>
            </w:r>
            <w:r w:rsidR="00A92EE3" w:rsidRPr="00DE10CD">
              <w:rPr>
                <w:rFonts w:asciiTheme="minorEastAsia" w:hAnsiTheme="minorEastAsia" w:hint="eastAsia"/>
                <w:snapToGrid w:val="0"/>
                <w:color w:val="000000"/>
                <w:spacing w:val="-4"/>
                <w:szCs w:val="21"/>
              </w:rPr>
              <w:t>政府围涂</w:t>
            </w:r>
            <w:r w:rsidRPr="00DE10CD">
              <w:rPr>
                <w:rFonts w:asciiTheme="minorEastAsia" w:hAnsiTheme="minorEastAsia" w:hint="eastAsia"/>
                <w:snapToGrid w:val="0"/>
                <w:color w:val="000000"/>
                <w:spacing w:val="-4"/>
                <w:szCs w:val="21"/>
              </w:rPr>
              <w:t>项目由区政府统一实施生态修复工作，已编制生态补偿方案。</w:t>
            </w:r>
            <w:r w:rsidR="00A92EE3" w:rsidRPr="00DE10CD">
              <w:rPr>
                <w:rFonts w:asciiTheme="minorEastAsia" w:hAnsiTheme="minorEastAsia" w:hint="eastAsia"/>
                <w:snapToGrid w:val="0"/>
                <w:color w:val="000000"/>
                <w:spacing w:val="-4"/>
                <w:szCs w:val="21"/>
              </w:rPr>
              <w:t xml:space="preserve">企业填海项目已编制生态补偿方案，在6月底前开展渔业增殖放流。                   </w:t>
            </w:r>
            <w:r w:rsidRPr="00DE10CD">
              <w:rPr>
                <w:rFonts w:asciiTheme="minorEastAsia" w:hAnsiTheme="minorEastAsia" w:hint="eastAsia"/>
                <w:snapToGrid w:val="0"/>
                <w:color w:val="000000"/>
                <w:spacing w:val="-4"/>
                <w:szCs w:val="21"/>
              </w:rPr>
              <w:t xml:space="preserve">                         2、加强事</w:t>
            </w:r>
            <w:r w:rsidR="00927BFF" w:rsidRPr="00DE10CD">
              <w:rPr>
                <w:rFonts w:asciiTheme="minorEastAsia" w:hAnsiTheme="minorEastAsia" w:hint="eastAsia"/>
                <w:snapToGrid w:val="0"/>
                <w:color w:val="000000"/>
                <w:spacing w:val="-4"/>
                <w:szCs w:val="21"/>
              </w:rPr>
              <w:t>中</w:t>
            </w:r>
            <w:r w:rsidRPr="00DE10CD">
              <w:rPr>
                <w:rFonts w:asciiTheme="minorEastAsia" w:hAnsiTheme="minorEastAsia" w:hint="eastAsia"/>
                <w:snapToGrid w:val="0"/>
                <w:color w:val="000000"/>
                <w:spacing w:val="-4"/>
                <w:szCs w:val="21"/>
              </w:rPr>
              <w:t>事</w:t>
            </w:r>
            <w:r w:rsidR="00927BFF" w:rsidRPr="00DE10CD">
              <w:rPr>
                <w:rFonts w:asciiTheme="minorEastAsia" w:hAnsiTheme="minorEastAsia" w:hint="eastAsia"/>
                <w:snapToGrid w:val="0"/>
                <w:color w:val="000000"/>
                <w:spacing w:val="-4"/>
                <w:szCs w:val="21"/>
              </w:rPr>
              <w:t>后</w:t>
            </w:r>
            <w:r w:rsidRPr="00DE10CD">
              <w:rPr>
                <w:rFonts w:asciiTheme="minorEastAsia" w:hAnsiTheme="minorEastAsia" w:hint="eastAsia"/>
                <w:snapToGrid w:val="0"/>
                <w:color w:val="000000"/>
                <w:spacing w:val="-4"/>
                <w:szCs w:val="21"/>
              </w:rPr>
              <w:t>监管，把落实生态补偿纳入日常管理和执法工作。</w:t>
            </w:r>
          </w:p>
        </w:tc>
      </w:tr>
      <w:tr w:rsidR="002734B9" w:rsidRPr="00DE10CD" w:rsidTr="00927BFF">
        <w:trPr>
          <w:trHeight w:val="2111"/>
        </w:trPr>
        <w:tc>
          <w:tcPr>
            <w:tcW w:w="881"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2734B9"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86</w:t>
            </w:r>
          </w:p>
        </w:tc>
        <w:tc>
          <w:tcPr>
            <w:tcW w:w="1984"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A92EE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省级及部分沿海市县国家海域使用动态监视监测体系建设滞后。</w:t>
            </w:r>
          </w:p>
        </w:tc>
        <w:tc>
          <w:tcPr>
            <w:tcW w:w="1985" w:type="dxa"/>
            <w:tcBorders>
              <w:top w:val="single" w:sz="6" w:space="0" w:color="auto"/>
              <w:left w:val="single" w:sz="6" w:space="0" w:color="auto"/>
              <w:bottom w:val="single" w:sz="6" w:space="0" w:color="auto"/>
              <w:right w:val="single" w:sz="6" w:space="0" w:color="auto"/>
              <w:tl2br w:val="nil"/>
              <w:tr2bl w:val="nil"/>
            </w:tcBorders>
          </w:tcPr>
          <w:p w:rsidR="002734B9" w:rsidRPr="00DE10CD" w:rsidRDefault="00A92EE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健全</w:t>
            </w:r>
            <w:r w:rsidR="00F9795F">
              <w:rPr>
                <w:rFonts w:asciiTheme="minorEastAsia" w:hAnsiTheme="minorEastAsia" w:hint="eastAsia"/>
                <w:snapToGrid w:val="0"/>
                <w:color w:val="000000"/>
                <w:spacing w:val="-4"/>
                <w:szCs w:val="21"/>
              </w:rPr>
              <w:t>省</w:t>
            </w:r>
            <w:r w:rsidRPr="00DE10CD">
              <w:rPr>
                <w:rFonts w:asciiTheme="minorEastAsia" w:hAnsiTheme="minorEastAsia" w:hint="eastAsia"/>
                <w:snapToGrid w:val="0"/>
                <w:color w:val="000000"/>
                <w:spacing w:val="-4"/>
                <w:szCs w:val="21"/>
              </w:rPr>
              <w:t>市县三级海域使用动态监视监测工作体系，建立海洋空间资源监测评估长效机制，提升海洋空间资源综合监管能力。</w:t>
            </w:r>
          </w:p>
        </w:tc>
        <w:tc>
          <w:tcPr>
            <w:tcW w:w="5558" w:type="dxa"/>
            <w:tcBorders>
              <w:top w:val="single" w:sz="6" w:space="0" w:color="auto"/>
              <w:left w:val="single" w:sz="6" w:space="0" w:color="auto"/>
              <w:bottom w:val="single" w:sz="6" w:space="0" w:color="auto"/>
              <w:right w:val="single" w:sz="6" w:space="0" w:color="auto"/>
              <w:tl2br w:val="nil"/>
              <w:tr2bl w:val="nil"/>
            </w:tcBorders>
          </w:tcPr>
          <w:p w:rsidR="004A3B47" w:rsidRPr="00DE10CD" w:rsidRDefault="004A3B47"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1、宁波市县级海域动态监管能力建设项目加快建设和验收，并报国家海洋主管部门备案。</w:t>
            </w:r>
          </w:p>
          <w:p w:rsidR="00A92EE3" w:rsidRPr="00DE10CD" w:rsidRDefault="004A3B47"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w:t>
            </w:r>
            <w:r w:rsidR="00A92EE3" w:rsidRPr="00DE10CD">
              <w:rPr>
                <w:rFonts w:asciiTheme="minorEastAsia" w:hAnsiTheme="minorEastAsia" w:hint="eastAsia"/>
                <w:snapToGrid w:val="0"/>
                <w:color w:val="000000"/>
                <w:spacing w:val="-4"/>
                <w:szCs w:val="21"/>
              </w:rPr>
              <w:t>、建立完善海域动态监视监测工作体系，明确职责分工，加强力量配备和经费保障，确保业务正常运行。构建海域、海岛、海岸线等海洋空间资源常态化监视监测长效机制，强化海洋空间资源管理。</w:t>
            </w:r>
          </w:p>
        </w:tc>
        <w:tc>
          <w:tcPr>
            <w:tcW w:w="3657" w:type="dxa"/>
            <w:tcBorders>
              <w:top w:val="single" w:sz="6" w:space="0" w:color="auto"/>
              <w:left w:val="single" w:sz="6" w:space="0" w:color="auto"/>
              <w:bottom w:val="single" w:sz="6" w:space="0" w:color="auto"/>
              <w:right w:val="single" w:sz="6" w:space="0" w:color="auto"/>
              <w:tl2br w:val="nil"/>
              <w:tr2bl w:val="nil"/>
            </w:tcBorders>
          </w:tcPr>
          <w:p w:rsidR="00A92EE3" w:rsidRPr="00DE10CD" w:rsidRDefault="00A92EE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1、宁波市县级海域动态监管能力建设项目已于2018年6月通过验收，并报国家海洋主管部门备案。</w:t>
            </w:r>
          </w:p>
          <w:p w:rsidR="00A92EE3" w:rsidRPr="00DE10CD" w:rsidRDefault="00A92EE3" w:rsidP="00A25BAC">
            <w:pPr>
              <w:widowControl/>
              <w:adjustRightInd w:val="0"/>
              <w:snapToGrid w:val="0"/>
              <w:spacing w:line="240" w:lineRule="atLeast"/>
              <w:jc w:val="left"/>
              <w:rPr>
                <w:rFonts w:asciiTheme="minorEastAsia" w:hAnsiTheme="minorEastAsia"/>
                <w:snapToGrid w:val="0"/>
                <w:color w:val="000000"/>
                <w:spacing w:val="-4"/>
                <w:szCs w:val="21"/>
              </w:rPr>
            </w:pPr>
            <w:r w:rsidRPr="00DE10CD">
              <w:rPr>
                <w:rFonts w:asciiTheme="minorEastAsia" w:hAnsiTheme="minorEastAsia" w:hint="eastAsia"/>
                <w:snapToGrid w:val="0"/>
                <w:color w:val="000000"/>
                <w:spacing w:val="-4"/>
                <w:szCs w:val="21"/>
              </w:rPr>
              <w:t>2、完善动态监视监测制度，开展常态化海域使用动态监视监测工作，提升海域使用动态监视监测的技术支撑和服务保障能力。</w:t>
            </w:r>
          </w:p>
        </w:tc>
      </w:tr>
    </w:tbl>
    <w:p w:rsidR="00A90106" w:rsidRPr="00A25BAC" w:rsidRDefault="00A90106" w:rsidP="00A25BAC">
      <w:pPr>
        <w:widowControl/>
        <w:adjustRightInd w:val="0"/>
        <w:snapToGrid w:val="0"/>
        <w:spacing w:line="240" w:lineRule="atLeast"/>
        <w:jc w:val="left"/>
        <w:rPr>
          <w:rFonts w:asciiTheme="minorEastAsia" w:hAnsiTheme="minorEastAsia"/>
          <w:snapToGrid w:val="0"/>
          <w:color w:val="000000"/>
          <w:spacing w:val="-4"/>
          <w:sz w:val="28"/>
          <w:szCs w:val="28"/>
        </w:rPr>
      </w:pPr>
    </w:p>
    <w:sectPr w:rsidR="00A90106" w:rsidRPr="00A25BAC" w:rsidSect="00A90106">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30" w:rsidRDefault="00DA3130" w:rsidP="00C7266C">
      <w:r>
        <w:separator/>
      </w:r>
    </w:p>
  </w:endnote>
  <w:endnote w:type="continuationSeparator" w:id="0">
    <w:p w:rsidR="00DA3130" w:rsidRDefault="00DA3130" w:rsidP="00C72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YaHei">
    <w:altName w:val="Courier New"/>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30" w:rsidRDefault="00DA3130" w:rsidP="00C7266C">
      <w:r>
        <w:separator/>
      </w:r>
    </w:p>
  </w:footnote>
  <w:footnote w:type="continuationSeparator" w:id="0">
    <w:p w:rsidR="00DA3130" w:rsidRDefault="00DA3130" w:rsidP="00C72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A067"/>
    <w:multiLevelType w:val="singleLevel"/>
    <w:tmpl w:val="2892A067"/>
    <w:lvl w:ilvl="0">
      <w:start w:val="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9"/>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31174"/>
    <w:rsid w:val="000D3224"/>
    <w:rsid w:val="00172A27"/>
    <w:rsid w:val="002179A3"/>
    <w:rsid w:val="002734B9"/>
    <w:rsid w:val="002C273D"/>
    <w:rsid w:val="0037229D"/>
    <w:rsid w:val="003D1B77"/>
    <w:rsid w:val="003F1166"/>
    <w:rsid w:val="004A3B47"/>
    <w:rsid w:val="005A4AE3"/>
    <w:rsid w:val="005B08EA"/>
    <w:rsid w:val="0062059B"/>
    <w:rsid w:val="00626F2A"/>
    <w:rsid w:val="00636C32"/>
    <w:rsid w:val="006D136B"/>
    <w:rsid w:val="00776EB9"/>
    <w:rsid w:val="008C3494"/>
    <w:rsid w:val="008E7964"/>
    <w:rsid w:val="008F3195"/>
    <w:rsid w:val="00927BFF"/>
    <w:rsid w:val="00A25BAC"/>
    <w:rsid w:val="00A90106"/>
    <w:rsid w:val="00A92EE3"/>
    <w:rsid w:val="00A964EE"/>
    <w:rsid w:val="00AA2749"/>
    <w:rsid w:val="00AA4248"/>
    <w:rsid w:val="00B41CBA"/>
    <w:rsid w:val="00BB670D"/>
    <w:rsid w:val="00BD678F"/>
    <w:rsid w:val="00C7266C"/>
    <w:rsid w:val="00D70B7F"/>
    <w:rsid w:val="00DA3130"/>
    <w:rsid w:val="00DE10CD"/>
    <w:rsid w:val="00F9795F"/>
    <w:rsid w:val="00FB793A"/>
    <w:rsid w:val="1CC24DB6"/>
    <w:rsid w:val="2CD84E7B"/>
    <w:rsid w:val="3036418D"/>
    <w:rsid w:val="58DB4406"/>
    <w:rsid w:val="74946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10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90106"/>
    <w:pPr>
      <w:jc w:val="left"/>
    </w:pPr>
    <w:rPr>
      <w:rFonts w:cs="Times New Roman"/>
      <w:kern w:val="0"/>
      <w:sz w:val="24"/>
    </w:rPr>
  </w:style>
  <w:style w:type="character" w:styleId="a4">
    <w:name w:val="Strong"/>
    <w:basedOn w:val="a0"/>
    <w:qFormat/>
    <w:rsid w:val="00A90106"/>
    <w:rPr>
      <w:b/>
      <w:color w:val="015293"/>
    </w:rPr>
  </w:style>
  <w:style w:type="character" w:styleId="a5">
    <w:name w:val="FollowedHyperlink"/>
    <w:basedOn w:val="a0"/>
    <w:qFormat/>
    <w:rsid w:val="00A90106"/>
    <w:rPr>
      <w:rFonts w:ascii="Microsoft YaHei" w:eastAsia="Microsoft YaHei" w:hAnsi="Microsoft YaHei" w:cs="Microsoft YaHei"/>
      <w:color w:val="333333"/>
      <w:u w:val="none"/>
    </w:rPr>
  </w:style>
  <w:style w:type="character" w:styleId="a6">
    <w:name w:val="Emphasis"/>
    <w:basedOn w:val="a0"/>
    <w:qFormat/>
    <w:rsid w:val="00A90106"/>
    <w:rPr>
      <w:sz w:val="21"/>
      <w:szCs w:val="21"/>
    </w:rPr>
  </w:style>
  <w:style w:type="character" w:styleId="a7">
    <w:name w:val="Hyperlink"/>
    <w:basedOn w:val="a0"/>
    <w:qFormat/>
    <w:rsid w:val="00A90106"/>
    <w:rPr>
      <w:rFonts w:ascii="Microsoft YaHei" w:eastAsia="Microsoft YaHei" w:hAnsi="Microsoft YaHei" w:cs="Microsoft YaHei" w:hint="default"/>
      <w:color w:val="333333"/>
      <w:u w:val="none"/>
    </w:rPr>
  </w:style>
  <w:style w:type="character" w:customStyle="1" w:styleId="xlsjicon1">
    <w:name w:val="xl_sj_icon1"/>
    <w:basedOn w:val="a0"/>
    <w:rsid w:val="00A90106"/>
    <w:rPr>
      <w:color w:val="666666"/>
    </w:rPr>
  </w:style>
  <w:style w:type="character" w:customStyle="1" w:styleId="xlsjicon21">
    <w:name w:val="xl_sj_icon21"/>
    <w:basedOn w:val="a0"/>
    <w:qFormat/>
    <w:rsid w:val="00A90106"/>
    <w:rPr>
      <w:color w:val="666666"/>
    </w:rPr>
  </w:style>
  <w:style w:type="character" w:customStyle="1" w:styleId="xlsjicon41">
    <w:name w:val="xl_sj_icon41"/>
    <w:basedOn w:val="a0"/>
    <w:qFormat/>
    <w:rsid w:val="00A90106"/>
    <w:rPr>
      <w:color w:val="666666"/>
    </w:rPr>
  </w:style>
  <w:style w:type="character" w:customStyle="1" w:styleId="xlsjicon31">
    <w:name w:val="xl_sj_icon31"/>
    <w:basedOn w:val="a0"/>
    <w:qFormat/>
    <w:rsid w:val="00A90106"/>
    <w:rPr>
      <w:color w:val="666666"/>
    </w:rPr>
  </w:style>
  <w:style w:type="paragraph" w:styleId="a8">
    <w:name w:val="header"/>
    <w:basedOn w:val="a"/>
    <w:link w:val="Char"/>
    <w:rsid w:val="00C72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C7266C"/>
    <w:rPr>
      <w:rFonts w:asciiTheme="minorHAnsi" w:eastAsiaTheme="minorEastAsia" w:hAnsiTheme="minorHAnsi" w:cstheme="minorBidi"/>
      <w:kern w:val="2"/>
      <w:sz w:val="18"/>
      <w:szCs w:val="18"/>
    </w:rPr>
  </w:style>
  <w:style w:type="paragraph" w:styleId="a9">
    <w:name w:val="footer"/>
    <w:basedOn w:val="a"/>
    <w:link w:val="Char0"/>
    <w:rsid w:val="00C7266C"/>
    <w:pPr>
      <w:tabs>
        <w:tab w:val="center" w:pos="4153"/>
        <w:tab w:val="right" w:pos="8306"/>
      </w:tabs>
      <w:snapToGrid w:val="0"/>
      <w:jc w:val="left"/>
    </w:pPr>
    <w:rPr>
      <w:sz w:val="18"/>
      <w:szCs w:val="18"/>
    </w:rPr>
  </w:style>
  <w:style w:type="character" w:customStyle="1" w:styleId="Char0">
    <w:name w:val="页脚 Char"/>
    <w:basedOn w:val="a0"/>
    <w:link w:val="a9"/>
    <w:rsid w:val="00C7266C"/>
    <w:rPr>
      <w:rFonts w:asciiTheme="minorHAnsi" w:eastAsiaTheme="minorEastAsia" w:hAnsiTheme="minorHAnsi" w:cstheme="minorBidi"/>
      <w:kern w:val="2"/>
      <w:sz w:val="18"/>
      <w:szCs w:val="18"/>
    </w:rPr>
  </w:style>
  <w:style w:type="paragraph" w:customStyle="1" w:styleId="CharCharCharCharCharChar">
    <w:name w:val="Char Char Char Char Char Char"/>
    <w:basedOn w:val="a"/>
    <w:rsid w:val="002734B9"/>
    <w:pPr>
      <w:widowControl/>
      <w:ind w:firstLineChars="200" w:firstLine="200"/>
      <w:jc w:val="left"/>
    </w:pPr>
    <w:rPr>
      <w:rFonts w:ascii="Times New Roman" w:eastAsia="宋体" w:hAnsi="Times New Roman" w:cs="Times New Roman"/>
      <w:szCs w:val="20"/>
    </w:rPr>
  </w:style>
  <w:style w:type="paragraph" w:customStyle="1" w:styleId="CharCharCharCharCharChar0">
    <w:name w:val="Char Char Char Char Char Char"/>
    <w:basedOn w:val="a"/>
    <w:rsid w:val="008C3494"/>
    <w:pPr>
      <w:widowControl/>
      <w:ind w:firstLineChars="200" w:firstLine="200"/>
      <w:jc w:val="left"/>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667711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gov.cn/art/2019/4/30/art_114235_895423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gov.cn/art/2019/4/30/art_114235_895423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gov.cn/art/2019/4/30/art_114235_8954237.html" TargetMode="External"/><Relationship Id="rId5" Type="http://schemas.openxmlformats.org/officeDocument/2006/relationships/webSettings" Target="webSettings.xml"/><Relationship Id="rId10" Type="http://schemas.openxmlformats.org/officeDocument/2006/relationships/hyperlink" Target="http://www.bl.gov.cn/art/2019/4/30/art_114235_8954237.html" TargetMode="External"/><Relationship Id="rId4" Type="http://schemas.openxmlformats.org/officeDocument/2006/relationships/settings" Target="settings.xml"/><Relationship Id="rId9" Type="http://schemas.openxmlformats.org/officeDocument/2006/relationships/hyperlink" Target="http://www.bl.gov.cn/art/2019/4/30/art_114235_8954237.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424</Words>
  <Characters>2417</Characters>
  <Application>Microsoft Office Word</Application>
  <DocSecurity>0</DocSecurity>
  <Lines>20</Lines>
  <Paragraphs>5</Paragraphs>
  <ScaleCrop>false</ScaleCrop>
  <Company>Microsoft</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dell1</cp:lastModifiedBy>
  <cp:revision>19</cp:revision>
  <dcterms:created xsi:type="dcterms:W3CDTF">2019-05-13T03:31:00Z</dcterms:created>
  <dcterms:modified xsi:type="dcterms:W3CDTF">2019-05-14T08:03:00Z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