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宁波经济技术开发区投资合作局</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2021年度政府信息公开工作年度报告</w:t>
      </w:r>
    </w:p>
    <w:p>
      <w:pPr>
        <w:pStyle w:val="2"/>
        <w:rPr>
          <w:rFonts w:hint="eastAsia"/>
          <w:lang w:val="en-US" w:eastAsia="zh-CN"/>
        </w:rPr>
      </w:pP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shd w:val="clear" w:color="auto" w:fill="FFFFFF"/>
        </w:rPr>
        <w:t>编制说明：本报告是根据《中华人民共和国政府信息公开条例》（国务院令第711号）和《国务院办公厅政府信息与政务公开办公室关于政府信息公开工作年度报告有关事项的通知》（国办公开办函〔2019〕60号）</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b w:val="0"/>
          <w:bCs/>
          <w:color w:val="auto"/>
          <w:sz w:val="32"/>
          <w:szCs w:val="32"/>
        </w:rPr>
        <w:t>国务院办公厅政府信息与政务公开办公室关于印发《中华人民共和国政府信息公开工作年度报告格式》的通知</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国办公开办函〔2021〕30号</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color w:val="auto"/>
          <w:sz w:val="32"/>
          <w:szCs w:val="32"/>
          <w:shd w:val="clear" w:color="auto" w:fill="FFFFFF"/>
        </w:rPr>
        <w:t>文件要求编制。全文包含总体情况、行政机关主动公开政府信息情况、行政机关收到和处理政府信息公开申请情况、因政府信息公开工作被申请行政复议、提起行政诉讼情况、政府信息公开工作存在的主要问题及改进情况、其他需要报告的事项六个方面。</w:t>
      </w:r>
      <w:r>
        <w:rPr>
          <w:rFonts w:hint="eastAsia" w:ascii="仿宋_GB2312" w:hAnsi="仿宋_GB2312" w:eastAsia="仿宋_GB2312" w:cs="仿宋_GB2312"/>
          <w:color w:val="auto"/>
          <w:sz w:val="32"/>
          <w:szCs w:val="32"/>
          <w:shd w:val="clear" w:color="auto" w:fill="FFFFFF"/>
          <w:lang w:eastAsia="zh-CN"/>
        </w:rPr>
        <w:t>统计数据时间为</w:t>
      </w:r>
      <w:r>
        <w:rPr>
          <w:rFonts w:hint="eastAsia" w:ascii="仿宋_GB2312" w:hAnsi="仿宋_GB2312" w:eastAsia="仿宋_GB2312" w:cs="仿宋_GB2312"/>
          <w:color w:val="auto"/>
          <w:sz w:val="32"/>
          <w:szCs w:val="32"/>
          <w:shd w:val="clear" w:color="auto" w:fill="FFFFFF"/>
          <w:lang w:val="en-US" w:eastAsia="zh-CN"/>
        </w:rPr>
        <w:t>2021年1月1日至12月31日。</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在区委、区政府的正确领导下，我局认真努力落实《中华人民共和国政府信息公开条例》和《宁波市政府信息公开规定》有关精神，进一步规范公开内容，健全公开制度，拓展公开渠道，着力推进重点领域内容公开，及时、准确地向社会公开信息，推动我局政务信息公开工作有序开展，依法保障群众的知情权、参与权和监督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做到及时公开和更新。针对各版块内容更新的时间节点要求，做到计划先行、落实到位，使各版块内容都按规定要求做到了及时公开和及时更新，确保了信息公开的时效性。二是做到常态自查和自纠。按照科学、严谨、规范的原则，针对公开内容中的一些专有名词和专项表述，进行时实把握，并对历年公开和即时公开的内容开展常态自查和自纠，确保了信息公开的正确性。三是做到主动学习和交流。认真学习省市区政府信息公开相关的文件精神，积极参加全区政府信息公开工作的培训讲座等学习平台的学习，加强对政府信息公开工作的认知，确保信息公开的专业性。</w:t>
      </w:r>
    </w:p>
    <w:p>
      <w:pPr>
        <w:pStyle w:val="6"/>
        <w:keepNext w:val="0"/>
        <w:keepLines w:val="0"/>
        <w:widowControl/>
        <w:suppressLineNumbers w:val="0"/>
        <w:spacing w:before="0" w:beforeAutospacing="0" w:after="0" w:afterAutospacing="0" w:line="432" w:lineRule="auto"/>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一年来，我局主动公开政府信息66条，政务微信发布信息127条，相关信息可在“北仑政府信息公开网站”和“投资北仑”微信公众号查阅。</w:t>
      </w:r>
      <w:r>
        <w:rPr>
          <w:rFonts w:hint="eastAsia" w:ascii="仿宋_GB2312" w:hAnsi="仿宋_GB2312" w:eastAsia="仿宋_GB2312" w:cs="仿宋_GB2312"/>
          <w:color w:val="auto"/>
          <w:sz w:val="32"/>
          <w:szCs w:val="32"/>
          <w:lang w:eastAsia="zh-CN"/>
        </w:rPr>
        <w:t>全年没有发生因政务公开工作被追究责任的情况。</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主动公开政府信息情况</w:t>
      </w:r>
    </w:p>
    <w:tbl>
      <w:tblPr>
        <w:tblStyle w:val="7"/>
        <w:tblW w:w="9000" w:type="dxa"/>
        <w:jc w:val="center"/>
        <w:tblInd w:w="-218" w:type="dxa"/>
        <w:tblLayout w:type="fixed"/>
        <w:tblCellMar>
          <w:top w:w="0" w:type="dxa"/>
          <w:left w:w="0" w:type="dxa"/>
          <w:bottom w:w="0" w:type="dxa"/>
          <w:right w:w="0" w:type="dxa"/>
        </w:tblCellMar>
      </w:tblPr>
      <w:tblGrid>
        <w:gridCol w:w="3331"/>
        <w:gridCol w:w="1687"/>
        <w:gridCol w:w="1663"/>
        <w:gridCol w:w="2319"/>
      </w:tblGrid>
      <w:tr>
        <w:tblPrEx>
          <w:tblLayout w:type="fixed"/>
          <w:tblCellMar>
            <w:top w:w="0" w:type="dxa"/>
            <w:left w:w="0" w:type="dxa"/>
            <w:bottom w:w="0" w:type="dxa"/>
            <w:right w:w="0" w:type="dxa"/>
          </w:tblCellMar>
        </w:tblPrEx>
        <w:trPr>
          <w:trHeight w:val="278" w:hRule="atLeast"/>
          <w:jc w:val="center"/>
        </w:trPr>
        <w:tc>
          <w:tcPr>
            <w:tcW w:w="900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612" w:hRule="atLeast"/>
          <w:jc w:val="center"/>
        </w:trPr>
        <w:tc>
          <w:tcPr>
            <w:tcW w:w="33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68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lang w:eastAsia="zh-CN"/>
              </w:rPr>
              <w:t>发件数</w:t>
            </w:r>
          </w:p>
        </w:tc>
        <w:tc>
          <w:tcPr>
            <w:tcW w:w="16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w:t>
            </w:r>
            <w:r>
              <w:rPr>
                <w:rFonts w:hint="eastAsia" w:ascii="宋体" w:hAnsi="宋体" w:eastAsia="宋体" w:cs="宋体"/>
                <w:color w:val="000000"/>
                <w:kern w:val="0"/>
                <w:sz w:val="20"/>
                <w:szCs w:val="20"/>
                <w:lang w:eastAsia="zh-CN"/>
              </w:rPr>
              <w:t>废止件数</w:t>
            </w:r>
          </w:p>
        </w:tc>
        <w:tc>
          <w:tcPr>
            <w:tcW w:w="231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eastAsia="zh-CN"/>
              </w:rPr>
              <w:t>现行有效件数</w:t>
            </w:r>
          </w:p>
        </w:tc>
      </w:tr>
      <w:tr>
        <w:tblPrEx>
          <w:tblLayout w:type="fixed"/>
          <w:tblCellMar>
            <w:top w:w="0" w:type="dxa"/>
            <w:left w:w="0" w:type="dxa"/>
            <w:bottom w:w="0" w:type="dxa"/>
            <w:right w:w="0" w:type="dxa"/>
          </w:tblCellMar>
        </w:tblPrEx>
        <w:trPr>
          <w:trHeight w:val="394" w:hRule="atLeast"/>
          <w:jc w:val="center"/>
        </w:trPr>
        <w:tc>
          <w:tcPr>
            <w:tcW w:w="33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68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231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258" w:hRule="atLeast"/>
          <w:jc w:val="center"/>
        </w:trPr>
        <w:tc>
          <w:tcPr>
            <w:tcW w:w="33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lang w:eastAsia="zh-CN"/>
              </w:rPr>
              <w:t>行政</w:t>
            </w:r>
            <w:r>
              <w:rPr>
                <w:rFonts w:hint="eastAsia" w:ascii="宋体" w:hAnsi="宋体" w:eastAsia="宋体" w:cs="宋体"/>
                <w:color w:val="000000"/>
                <w:kern w:val="0"/>
                <w:sz w:val="20"/>
                <w:szCs w:val="20"/>
              </w:rPr>
              <w:t>规范性文件</w:t>
            </w:r>
          </w:p>
        </w:tc>
        <w:tc>
          <w:tcPr>
            <w:tcW w:w="168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231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80" w:hRule="atLeast"/>
          <w:jc w:val="center"/>
        </w:trPr>
        <w:tc>
          <w:tcPr>
            <w:tcW w:w="900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348" w:hRule="atLeast"/>
          <w:jc w:val="center"/>
        </w:trPr>
        <w:tc>
          <w:tcPr>
            <w:tcW w:w="33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5669"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lang w:eastAsia="zh-CN"/>
              </w:rPr>
              <w:t>本年处理决定数量</w:t>
            </w:r>
          </w:p>
        </w:tc>
      </w:tr>
      <w:tr>
        <w:tblPrEx>
          <w:tblLayout w:type="fixed"/>
          <w:tblCellMar>
            <w:top w:w="0" w:type="dxa"/>
            <w:left w:w="0" w:type="dxa"/>
            <w:bottom w:w="0" w:type="dxa"/>
            <w:right w:w="0" w:type="dxa"/>
          </w:tblCellMar>
        </w:tblPrEx>
        <w:trPr>
          <w:trHeight w:val="217" w:hRule="atLeast"/>
          <w:jc w:val="center"/>
        </w:trPr>
        <w:tc>
          <w:tcPr>
            <w:tcW w:w="33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5669"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Layout w:type="fixed"/>
          <w:tblCellMar>
            <w:top w:w="0" w:type="dxa"/>
            <w:left w:w="0" w:type="dxa"/>
            <w:bottom w:w="0" w:type="dxa"/>
            <w:right w:w="0" w:type="dxa"/>
          </w:tblCellMar>
        </w:tblPrEx>
        <w:trPr>
          <w:trHeight w:val="406" w:hRule="atLeast"/>
          <w:jc w:val="center"/>
        </w:trPr>
        <w:tc>
          <w:tcPr>
            <w:tcW w:w="900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225" w:hRule="atLeast"/>
          <w:jc w:val="center"/>
        </w:trPr>
        <w:tc>
          <w:tcPr>
            <w:tcW w:w="33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5669"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本年处理决定数量</w:t>
            </w:r>
          </w:p>
        </w:tc>
      </w:tr>
      <w:tr>
        <w:tblPrEx>
          <w:tblLayout w:type="fixed"/>
          <w:tblCellMar>
            <w:top w:w="0" w:type="dxa"/>
            <w:left w:w="0" w:type="dxa"/>
            <w:bottom w:w="0" w:type="dxa"/>
            <w:right w:w="0" w:type="dxa"/>
          </w:tblCellMar>
        </w:tblPrEx>
        <w:trPr>
          <w:trHeight w:val="328" w:hRule="atLeast"/>
          <w:jc w:val="center"/>
        </w:trPr>
        <w:tc>
          <w:tcPr>
            <w:tcW w:w="33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5669"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Layout w:type="fixed"/>
          <w:tblCellMar>
            <w:top w:w="0" w:type="dxa"/>
            <w:left w:w="0" w:type="dxa"/>
            <w:bottom w:w="0" w:type="dxa"/>
            <w:right w:w="0" w:type="dxa"/>
          </w:tblCellMar>
        </w:tblPrEx>
        <w:trPr>
          <w:trHeight w:val="409" w:hRule="atLeast"/>
          <w:jc w:val="center"/>
        </w:trPr>
        <w:tc>
          <w:tcPr>
            <w:tcW w:w="33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5669"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Layout w:type="fixed"/>
          <w:tblCellMar>
            <w:top w:w="0" w:type="dxa"/>
            <w:left w:w="0" w:type="dxa"/>
            <w:bottom w:w="0" w:type="dxa"/>
            <w:right w:w="0" w:type="dxa"/>
          </w:tblCellMar>
        </w:tblPrEx>
        <w:trPr>
          <w:trHeight w:val="474" w:hRule="atLeast"/>
          <w:jc w:val="center"/>
        </w:trPr>
        <w:tc>
          <w:tcPr>
            <w:tcW w:w="900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3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5669"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本年收费金额（单位：万元）</w:t>
            </w:r>
          </w:p>
        </w:tc>
      </w:tr>
      <w:tr>
        <w:tblPrEx>
          <w:tblLayout w:type="fixed"/>
          <w:tblCellMar>
            <w:top w:w="0" w:type="dxa"/>
            <w:left w:w="0" w:type="dxa"/>
            <w:bottom w:w="0" w:type="dxa"/>
            <w:right w:w="0" w:type="dxa"/>
          </w:tblCellMar>
        </w:tblPrEx>
        <w:trPr>
          <w:trHeight w:val="429" w:hRule="atLeast"/>
          <w:jc w:val="center"/>
        </w:trPr>
        <w:tc>
          <w:tcPr>
            <w:tcW w:w="33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5669"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numPr>
          <w:ilvl w:val="0"/>
          <w:numId w:val="1"/>
        </w:numPr>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收到和处理政府信息公开申请情况</w:t>
      </w:r>
    </w:p>
    <w:p>
      <w:pPr>
        <w:pStyle w:val="2"/>
        <w:numPr>
          <w:ilvl w:val="0"/>
          <w:numId w:val="0"/>
        </w:numPr>
        <w:ind w:leftChars="200"/>
        <w:rPr>
          <w:rFonts w:hint="default"/>
          <w:lang w:val="en-US" w:eastAsia="zh-CN"/>
        </w:rPr>
      </w:pPr>
    </w:p>
    <w:tbl>
      <w:tblPr>
        <w:tblStyle w:val="7"/>
        <w:tblW w:w="9071" w:type="dxa"/>
        <w:jc w:val="center"/>
        <w:tblInd w:w="0" w:type="dxa"/>
        <w:tblLayout w:type="fixed"/>
        <w:tblCellMar>
          <w:top w:w="0" w:type="dxa"/>
          <w:left w:w="0" w:type="dxa"/>
          <w:bottom w:w="0" w:type="dxa"/>
          <w:right w:w="0" w:type="dxa"/>
        </w:tblCellMar>
      </w:tblPr>
      <w:tblGrid>
        <w:gridCol w:w="617"/>
        <w:gridCol w:w="854"/>
        <w:gridCol w:w="2827"/>
        <w:gridCol w:w="695"/>
        <w:gridCol w:w="668"/>
        <w:gridCol w:w="627"/>
        <w:gridCol w:w="696"/>
        <w:gridCol w:w="723"/>
        <w:gridCol w:w="670"/>
        <w:gridCol w:w="694"/>
      </w:tblGrid>
      <w:tr>
        <w:tblPrEx>
          <w:tblLayout w:type="fixed"/>
          <w:tblCellMar>
            <w:top w:w="0" w:type="dxa"/>
            <w:left w:w="0" w:type="dxa"/>
            <w:bottom w:w="0" w:type="dxa"/>
            <w:right w:w="0" w:type="dxa"/>
          </w:tblCellMar>
        </w:tblPrEx>
        <w:trPr>
          <w:jc w:val="center"/>
        </w:trPr>
        <w:tc>
          <w:tcPr>
            <w:tcW w:w="4298" w:type="dxa"/>
            <w:gridSpan w:val="3"/>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4773"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Layout w:type="fixed"/>
          <w:tblCellMar>
            <w:top w:w="0" w:type="dxa"/>
            <w:left w:w="0" w:type="dxa"/>
            <w:bottom w:w="0" w:type="dxa"/>
            <w:right w:w="0" w:type="dxa"/>
          </w:tblCellMar>
        </w:tblPrEx>
        <w:trPr>
          <w:jc w:val="center"/>
        </w:trPr>
        <w:tc>
          <w:tcPr>
            <w:tcW w:w="429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69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38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Layout w:type="fixed"/>
          <w:tblCellMar>
            <w:top w:w="0" w:type="dxa"/>
            <w:left w:w="0" w:type="dxa"/>
            <w:bottom w:w="0" w:type="dxa"/>
            <w:right w:w="0" w:type="dxa"/>
          </w:tblCellMar>
        </w:tblPrEx>
        <w:trPr>
          <w:jc w:val="center"/>
        </w:trPr>
        <w:tc>
          <w:tcPr>
            <w:tcW w:w="429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479" w:hRule="atLeast"/>
          <w:jc w:val="center"/>
        </w:trPr>
        <w:tc>
          <w:tcPr>
            <w:tcW w:w="429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rPr>
              <w:t> </w:t>
            </w:r>
            <w:r>
              <w:rPr>
                <w:rFonts w:hint="eastAsia" w:ascii="楷体_GB2312" w:hAnsi="楷体_GB2312" w:eastAsia="楷体_GB2312" w:cs="楷体_GB2312"/>
                <w:kern w:val="0"/>
                <w:sz w:val="21"/>
                <w:szCs w:val="21"/>
                <w:lang w:val="en-US" w:eastAsia="zh-CN"/>
              </w:rPr>
              <w:t>0</w:t>
            </w:r>
          </w:p>
        </w:tc>
      </w:tr>
      <w:tr>
        <w:tblPrEx>
          <w:tblLayout w:type="fixed"/>
          <w:tblCellMar>
            <w:top w:w="0" w:type="dxa"/>
            <w:left w:w="0" w:type="dxa"/>
            <w:bottom w:w="0" w:type="dxa"/>
            <w:right w:w="0" w:type="dxa"/>
          </w:tblCellMar>
        </w:tblPrEx>
        <w:trPr>
          <w:trHeight w:val="425" w:hRule="atLeast"/>
          <w:jc w:val="center"/>
        </w:trPr>
        <w:tc>
          <w:tcPr>
            <w:tcW w:w="429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r>
      <w:tr>
        <w:tblPrEx>
          <w:tblLayout w:type="fixed"/>
          <w:tblCellMar>
            <w:top w:w="0" w:type="dxa"/>
            <w:left w:w="0" w:type="dxa"/>
            <w:bottom w:w="0" w:type="dxa"/>
            <w:right w:w="0" w:type="dxa"/>
          </w:tblCellMar>
        </w:tblPrEx>
        <w:trPr>
          <w:trHeight w:val="411" w:hRule="atLeast"/>
          <w:jc w:val="center"/>
        </w:trPr>
        <w:tc>
          <w:tcPr>
            <w:tcW w:w="61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68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rPr>
              <w:t> </w:t>
            </w:r>
            <w:r>
              <w:rPr>
                <w:rFonts w:hint="eastAsia" w:ascii="楷体_GB2312" w:hAnsi="楷体_GB2312" w:eastAsia="楷体_GB2312" w:cs="楷体_GB2312"/>
                <w:kern w:val="0"/>
                <w:sz w:val="21"/>
                <w:szCs w:val="21"/>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68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rPr>
              <w:t> </w:t>
            </w:r>
            <w:r>
              <w:rPr>
                <w:rFonts w:hint="eastAsia" w:ascii="楷体_GB2312" w:hAnsi="楷体_GB2312" w:eastAsia="楷体_GB2312" w:cs="楷体_GB2312"/>
                <w:kern w:val="0"/>
                <w:sz w:val="21"/>
                <w:szCs w:val="21"/>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rPr>
              <w:t> </w:t>
            </w:r>
            <w:r>
              <w:rPr>
                <w:rFonts w:hint="eastAsia" w:ascii="楷体_GB2312" w:hAnsi="楷体_GB2312" w:eastAsia="楷体_GB2312" w:cs="楷体_GB2312"/>
                <w:kern w:val="0"/>
                <w:sz w:val="21"/>
                <w:szCs w:val="21"/>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rPr>
              <w:t> </w:t>
            </w:r>
            <w:r>
              <w:rPr>
                <w:rFonts w:hint="eastAsia" w:ascii="楷体_GB2312" w:hAnsi="楷体_GB2312" w:eastAsia="楷体_GB2312" w:cs="楷体_GB2312"/>
                <w:kern w:val="0"/>
                <w:sz w:val="21"/>
                <w:szCs w:val="21"/>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rPr>
              <w:t> </w:t>
            </w:r>
            <w:r>
              <w:rPr>
                <w:rFonts w:hint="eastAsia" w:ascii="楷体_GB2312" w:hAnsi="楷体_GB2312" w:eastAsia="楷体_GB2312" w:cs="楷体_GB2312"/>
                <w:kern w:val="0"/>
                <w:sz w:val="21"/>
                <w:szCs w:val="21"/>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rPr>
              <w:t> </w:t>
            </w:r>
            <w:r>
              <w:rPr>
                <w:rFonts w:hint="eastAsia" w:ascii="楷体_GB2312" w:hAnsi="楷体_GB2312" w:eastAsia="楷体_GB2312" w:cs="楷体_GB2312"/>
                <w:kern w:val="0"/>
                <w:sz w:val="21"/>
                <w:szCs w:val="21"/>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rPr>
              <w:t> </w:t>
            </w:r>
            <w:r>
              <w:rPr>
                <w:rFonts w:hint="eastAsia" w:ascii="楷体_GB2312" w:hAnsi="楷体_GB2312" w:eastAsia="楷体_GB2312" w:cs="楷体_GB2312"/>
                <w:kern w:val="0"/>
                <w:sz w:val="21"/>
                <w:szCs w:val="21"/>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rPr>
              <w:t> </w:t>
            </w:r>
            <w:r>
              <w:rPr>
                <w:rFonts w:hint="eastAsia" w:ascii="楷体_GB2312" w:hAnsi="楷体_GB2312" w:eastAsia="楷体_GB2312" w:cs="楷体_GB2312"/>
                <w:kern w:val="0"/>
                <w:sz w:val="21"/>
                <w:szCs w:val="21"/>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r>
              <w:rPr>
                <w:rFonts w:hint="eastAsia" w:ascii="楷体_GB2312" w:hAnsi="楷体_GB2312" w:eastAsia="楷体_GB2312" w:cs="楷体_GB2312"/>
                <w:kern w:val="0"/>
                <w:sz w:val="21"/>
                <w:szCs w:val="21"/>
              </w:rPr>
              <w:t> </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lang w:val="en-US" w:eastAsia="zh-CN"/>
              </w:rPr>
              <w:t>0</w:t>
            </w:r>
          </w:p>
        </w:tc>
      </w:tr>
      <w:tr>
        <w:tblPrEx>
          <w:tblLayout w:type="fixed"/>
          <w:tblCellMar>
            <w:top w:w="0" w:type="dxa"/>
            <w:left w:w="0" w:type="dxa"/>
            <w:bottom w:w="0" w:type="dxa"/>
            <w:right w:w="0" w:type="dxa"/>
          </w:tblCellMar>
        </w:tblPrEx>
        <w:trPr>
          <w:trHeight w:val="1092" w:hRule="atLeast"/>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楷体" w:hAnsi="楷体" w:eastAsia="楷体" w:cs="宋体"/>
                <w:kern w:val="0"/>
                <w:sz w:val="20"/>
                <w:szCs w:val="20"/>
                <w:lang w:val="en-US" w:eastAsia="zh-CN"/>
              </w:rPr>
            </w:pPr>
            <w:r>
              <w:rPr>
                <w:rFonts w:hint="eastAsia" w:ascii="楷体" w:hAnsi="楷体" w:eastAsia="楷体" w:cs="宋体"/>
                <w:kern w:val="0"/>
                <w:sz w:val="20"/>
                <w:szCs w:val="20"/>
                <w:lang w:val="en-US" w:eastAsia="zh-CN"/>
              </w:rPr>
              <w:t>1</w:t>
            </w:r>
            <w:r>
              <w:rPr>
                <w:rFonts w:hint="eastAsia" w:ascii="楷体" w:hAnsi="楷体" w:eastAsia="楷体" w:cs="宋体"/>
                <w:kern w:val="0"/>
                <w:sz w:val="20"/>
                <w:szCs w:val="20"/>
              </w:rPr>
              <w:t>.</w:t>
            </w:r>
            <w:r>
              <w:rPr>
                <w:rFonts w:hint="eastAsia" w:ascii="楷体" w:hAnsi="楷体" w:eastAsia="楷体" w:cs="宋体"/>
                <w:kern w:val="0"/>
                <w:sz w:val="20"/>
                <w:szCs w:val="20"/>
                <w:lang w:val="en-US" w:eastAsia="zh-CN"/>
              </w:rPr>
              <w:t>申请人无正当理由逾期不补正、行政机关不再处理其政府信息公开申请</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r>
      <w:tr>
        <w:tblPrEx>
          <w:tblLayout w:type="fixed"/>
          <w:tblCellMar>
            <w:top w:w="0" w:type="dxa"/>
            <w:left w:w="0" w:type="dxa"/>
            <w:bottom w:w="0" w:type="dxa"/>
            <w:right w:w="0" w:type="dxa"/>
          </w:tblCellMar>
        </w:tblPrEx>
        <w:trPr>
          <w:trHeight w:val="1092" w:hRule="atLeast"/>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楷体" w:hAnsi="楷体" w:eastAsia="楷体" w:cs="宋体"/>
                <w:kern w:val="0"/>
                <w:sz w:val="20"/>
                <w:szCs w:val="20"/>
              </w:rPr>
            </w:pP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楷体" w:hAnsi="楷体" w:eastAsia="楷体" w:cs="宋体"/>
                <w:kern w:val="0"/>
                <w:sz w:val="20"/>
                <w:szCs w:val="20"/>
                <w:lang w:val="en-US" w:eastAsia="zh-CN"/>
              </w:rPr>
            </w:pPr>
            <w:r>
              <w:rPr>
                <w:rFonts w:hint="eastAsia" w:ascii="楷体" w:hAnsi="楷体" w:eastAsia="楷体" w:cs="宋体"/>
                <w:kern w:val="0"/>
                <w:sz w:val="20"/>
                <w:szCs w:val="20"/>
                <w:lang w:val="en-US" w:eastAsia="zh-CN"/>
              </w:rPr>
              <w:t>2</w:t>
            </w:r>
            <w:r>
              <w:rPr>
                <w:rFonts w:hint="eastAsia" w:ascii="楷体" w:hAnsi="楷体" w:eastAsia="楷体" w:cs="宋体"/>
                <w:kern w:val="0"/>
                <w:sz w:val="20"/>
                <w:szCs w:val="20"/>
              </w:rPr>
              <w:t>.</w:t>
            </w:r>
            <w:r>
              <w:rPr>
                <w:rFonts w:hint="eastAsia" w:ascii="楷体" w:hAnsi="楷体" w:eastAsia="楷体" w:cs="宋体"/>
                <w:kern w:val="0"/>
                <w:sz w:val="20"/>
                <w:szCs w:val="20"/>
                <w:lang w:val="en-US" w:eastAsia="zh-CN"/>
              </w:rPr>
              <w:t>申请人无正当理由逾期未按收费通知要求缴纳费用、行政再处理其政府信息公开申请</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 w:hAnsi="楷体" w:eastAsia="楷体" w:cs="宋体"/>
                <w:kern w:val="0"/>
                <w:sz w:val="20"/>
                <w:szCs w:val="20"/>
                <w:lang w:val="en-US" w:eastAsia="zh-CN"/>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 w:hAnsi="楷体" w:eastAsia="楷体" w:cs="宋体"/>
                <w:kern w:val="0"/>
                <w:sz w:val="20"/>
                <w:szCs w:val="20"/>
                <w:lang w:val="en-US" w:eastAsia="zh-CN"/>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 w:hAnsi="楷体" w:eastAsia="楷体" w:cs="宋体"/>
                <w:kern w:val="0"/>
                <w:sz w:val="20"/>
                <w:szCs w:val="20"/>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 w:hAnsi="楷体" w:eastAsia="楷体" w:cs="宋体"/>
                <w:kern w:val="0"/>
                <w:sz w:val="20"/>
                <w:szCs w:val="20"/>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 w:hAnsi="楷体" w:eastAsia="楷体" w:cs="宋体"/>
                <w:kern w:val="0"/>
                <w:sz w:val="20"/>
                <w:szCs w:val="20"/>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 w:hAnsi="楷体" w:eastAsia="楷体" w:cs="宋体"/>
                <w:kern w:val="0"/>
                <w:sz w:val="20"/>
                <w:szCs w:val="20"/>
              </w:rPr>
            </w:pPr>
            <w:r>
              <w:rPr>
                <w:rFonts w:hint="eastAsia" w:ascii="楷体_GB2312" w:hAnsi="楷体_GB2312" w:eastAsia="楷体_GB2312" w:cs="楷体_GB2312"/>
                <w:kern w:val="0"/>
                <w:sz w:val="21"/>
                <w:szCs w:val="21"/>
                <w:lang w:val="en-US" w:eastAsia="zh-CN"/>
              </w:rPr>
              <w:t>0</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 w:hAnsi="楷体" w:eastAsia="楷体" w:cs="宋体"/>
                <w:kern w:val="0"/>
                <w:sz w:val="20"/>
                <w:szCs w:val="20"/>
              </w:rPr>
            </w:pPr>
            <w:r>
              <w:rPr>
                <w:rFonts w:hint="eastAsia" w:ascii="楷体_GB2312" w:hAnsi="楷体_GB2312" w:eastAsia="楷体_GB2312" w:cs="楷体_GB2312"/>
                <w:kern w:val="0"/>
                <w:sz w:val="21"/>
                <w:szCs w:val="21"/>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楷体" w:hAnsi="楷体" w:eastAsia="楷体" w:cs="宋体"/>
                <w:kern w:val="0"/>
                <w:sz w:val="20"/>
                <w:szCs w:val="20"/>
              </w:rPr>
            </w:pPr>
          </w:p>
        </w:tc>
        <w:tc>
          <w:tcPr>
            <w:tcW w:w="2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楷体" w:hAnsi="楷体" w:eastAsia="楷体" w:cs="宋体"/>
                <w:kern w:val="0"/>
                <w:sz w:val="20"/>
                <w:szCs w:val="20"/>
                <w:lang w:val="en-US" w:eastAsia="zh-CN"/>
              </w:rPr>
            </w:pPr>
            <w:r>
              <w:rPr>
                <w:rFonts w:hint="eastAsia" w:ascii="楷体" w:hAnsi="楷体" w:eastAsia="楷体" w:cs="宋体"/>
                <w:kern w:val="0"/>
                <w:sz w:val="20"/>
                <w:szCs w:val="20"/>
                <w:lang w:val="en-US" w:eastAsia="zh-CN"/>
              </w:rPr>
              <w:t>3</w:t>
            </w:r>
            <w:r>
              <w:rPr>
                <w:rFonts w:hint="eastAsia" w:ascii="楷体" w:hAnsi="楷体" w:eastAsia="楷体" w:cs="宋体"/>
                <w:kern w:val="0"/>
                <w:sz w:val="20"/>
                <w:szCs w:val="20"/>
              </w:rPr>
              <w:t>.</w:t>
            </w:r>
            <w:r>
              <w:rPr>
                <w:rFonts w:hint="eastAsia" w:ascii="楷体" w:hAnsi="楷体" w:eastAsia="楷体" w:cs="宋体"/>
                <w:kern w:val="0"/>
                <w:sz w:val="20"/>
                <w:szCs w:val="20"/>
                <w:lang w:val="en-US" w:eastAsia="zh-CN"/>
              </w:rPr>
              <w:t>其它</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p>
        </w:tc>
      </w:tr>
      <w:tr>
        <w:tblPrEx>
          <w:tblLayout w:type="fixed"/>
          <w:tblCellMar>
            <w:top w:w="0" w:type="dxa"/>
            <w:left w:w="0" w:type="dxa"/>
            <w:bottom w:w="0" w:type="dxa"/>
            <w:right w:w="0"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68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lang w:val="en-US" w:eastAsia="zh-CN"/>
              </w:rPr>
              <w:t>0</w:t>
            </w:r>
          </w:p>
        </w:tc>
      </w:tr>
      <w:tr>
        <w:tblPrEx>
          <w:tblLayout w:type="fixed"/>
          <w:tblCellMar>
            <w:top w:w="0" w:type="dxa"/>
            <w:left w:w="0" w:type="dxa"/>
            <w:bottom w:w="0" w:type="dxa"/>
            <w:right w:w="0" w:type="dxa"/>
          </w:tblCellMar>
        </w:tblPrEx>
        <w:trPr>
          <w:trHeight w:val="434" w:hRule="atLeast"/>
          <w:jc w:val="center"/>
        </w:trPr>
        <w:tc>
          <w:tcPr>
            <w:tcW w:w="429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7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lang w:val="en-US" w:eastAsia="zh-CN"/>
              </w:rPr>
              <w:t>0</w:t>
            </w:r>
          </w:p>
        </w:tc>
      </w:tr>
    </w:tbl>
    <w:p>
      <w:pPr>
        <w:numPr>
          <w:ilvl w:val="0"/>
          <w:numId w:val="0"/>
        </w:numPr>
        <w:rPr>
          <w:rFonts w:ascii="宋体" w:hAnsi="宋体" w:eastAsia="宋体" w:cs="宋体"/>
          <w:color w:val="333333"/>
          <w:kern w:val="0"/>
          <w:sz w:val="32"/>
          <w:szCs w:val="32"/>
        </w:rPr>
      </w:pPr>
    </w:p>
    <w:p>
      <w:pPr>
        <w:numPr>
          <w:ilvl w:val="0"/>
          <w:numId w:val="0"/>
        </w:numPr>
        <w:rPr>
          <w:rFonts w:ascii="宋体" w:hAnsi="宋体" w:eastAsia="宋体" w:cs="宋体"/>
          <w:color w:val="333333"/>
          <w:kern w:val="0"/>
          <w:sz w:val="32"/>
          <w:szCs w:val="32"/>
        </w:rPr>
      </w:pPr>
    </w:p>
    <w:p>
      <w:pPr>
        <w:numPr>
          <w:ilvl w:val="0"/>
          <w:numId w:val="0"/>
        </w:numPr>
        <w:ind w:firstLine="640" w:firstLineChars="200"/>
        <w:rPr>
          <w:rFonts w:ascii="宋体" w:hAnsi="宋体" w:eastAsia="宋体" w:cs="宋体"/>
          <w:color w:val="333333"/>
          <w:kern w:val="0"/>
          <w:sz w:val="32"/>
          <w:szCs w:val="32"/>
        </w:rPr>
      </w:pPr>
      <w:r>
        <w:rPr>
          <w:rFonts w:hint="eastAsia" w:ascii="黑体" w:hAnsi="黑体" w:eastAsia="黑体" w:cs="黑体"/>
          <w:sz w:val="32"/>
          <w:szCs w:val="32"/>
          <w:lang w:val="en-US" w:eastAsia="zh-CN"/>
        </w:rPr>
        <w:t>四、政府信息公开行政复议、行政诉讼情况</w:t>
      </w:r>
    </w:p>
    <w:p>
      <w:pPr>
        <w:pStyle w:val="2"/>
      </w:pPr>
    </w:p>
    <w:tbl>
      <w:tblPr>
        <w:tblStyle w:val="7"/>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Layout w:type="fixed"/>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1"/>
                <w:szCs w:val="21"/>
              </w:rPr>
            </w:pPr>
            <w:r>
              <w:rPr>
                <w:rFonts w:hint="eastAsia" w:ascii="宋体" w:hAnsi="宋体" w:eastAsia="宋体" w:cs="宋体"/>
                <w:color w:val="000000"/>
                <w:kern w:val="0"/>
                <w:sz w:val="21"/>
                <w:szCs w:val="21"/>
                <w:lang w:val="en-US" w:eastAsia="zh-CN"/>
              </w:rPr>
              <w:t>0</w:t>
            </w:r>
            <w:r>
              <w:rPr>
                <w:rFonts w:hint="eastAsia" w:ascii="宋体" w:hAnsi="宋体" w:eastAsia="宋体" w:cs="宋体"/>
                <w:color w:val="000000"/>
                <w:kern w:val="0"/>
                <w:sz w:val="21"/>
                <w:szCs w:val="21"/>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r>
    </w:tbl>
    <w:p>
      <w:pPr>
        <w:ind w:firstLine="640" w:firstLineChars="200"/>
        <w:rPr>
          <w:rFonts w:hint="eastAsia" w:ascii="黑体" w:hAnsi="黑体" w:eastAsia="黑体" w:cs="黑体"/>
          <w:sz w:val="32"/>
          <w:szCs w:val="32"/>
          <w:lang w:val="en-US" w:eastAsia="zh-CN"/>
        </w:rPr>
      </w:pP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年来，在区委、区政府的正确领导下，我局政府信息公开工作在时效性、规范性和正确性等方面都取得了一定的进展和成效，但对标先进还存在一定的不足：一是政务动态信息以转载为多，自主信息较少。二是信息的广度和深度还不够，主要以招商引资工作、活动内容和项目情况等内容为主，缺乏区域发展前瞻性内容。针对以上问题，我局将积极改进，通过加强学习培训，不断充实公开内容，确保全局政府信息公开工作质量。</w:t>
      </w:r>
    </w:p>
    <w:p>
      <w:pPr>
        <w:numPr>
          <w:ilvl w:val="0"/>
          <w:numId w:val="0"/>
        </w:numPr>
        <w:ind w:leftChars="200"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pStyle w:val="6"/>
        <w:keepNext w:val="0"/>
        <w:keepLines w:val="0"/>
        <w:widowControl/>
        <w:suppressLineNumbers w:val="0"/>
        <w:spacing w:before="0" w:beforeAutospacing="0" w:after="0" w:afterAutospacing="0" w:line="432" w:lineRule="auto"/>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本机关全年没有收到超出一定数量或者频次范围的政府信息公开申请，也未对申请人收取信息处理费。</w:t>
      </w:r>
    </w:p>
    <w:p>
      <w:pPr>
        <w:pStyle w:val="6"/>
        <w:keepNext w:val="0"/>
        <w:keepLines w:val="0"/>
        <w:widowControl/>
        <w:suppressLineNumbers w:val="0"/>
        <w:spacing w:before="0" w:beforeAutospacing="0" w:after="0" w:afterAutospacing="0" w:line="432" w:lineRule="auto"/>
        <w:ind w:firstLine="640" w:firstLineChars="200"/>
        <w:jc w:val="left"/>
        <w:rPr>
          <w:rFonts w:hint="eastAsia" w:ascii="仿宋_GB2312" w:hAnsi="仿宋_GB2312" w:eastAsia="仿宋_GB2312" w:cs="仿宋_GB2312"/>
          <w:color w:val="auto"/>
          <w:sz w:val="32"/>
          <w:szCs w:val="32"/>
          <w:lang w:eastAsia="zh-CN"/>
        </w:rPr>
      </w:pPr>
    </w:p>
    <w:p>
      <w:pPr>
        <w:pStyle w:val="6"/>
        <w:keepNext w:val="0"/>
        <w:keepLines w:val="0"/>
        <w:widowControl/>
        <w:suppressLineNumbers w:val="0"/>
        <w:spacing w:before="0" w:beforeAutospacing="0" w:after="0" w:afterAutospacing="0" w:line="432" w:lineRule="auto"/>
        <w:ind w:firstLine="640" w:firstLineChars="200"/>
        <w:jc w:val="left"/>
        <w:rPr>
          <w:rFonts w:hint="eastAsia" w:ascii="仿宋_GB2312" w:hAnsi="仿宋_GB2312" w:eastAsia="仿宋_GB2312" w:cs="仿宋_GB2312"/>
          <w:color w:val="auto"/>
          <w:sz w:val="32"/>
          <w:szCs w:val="32"/>
          <w:lang w:val="en-US" w:eastAsia="zh-CN"/>
        </w:rPr>
      </w:pPr>
      <w:bookmarkStart w:id="0" w:name="_GoBack"/>
      <w:bookmarkEnd w:id="0"/>
      <w:r>
        <w:rPr>
          <w:rFonts w:hint="eastAsia" w:ascii="仿宋_GB2312" w:hAnsi="仿宋_GB2312" w:eastAsia="仿宋_GB2312" w:cs="仿宋_GB2312"/>
          <w:color w:val="auto"/>
          <w:sz w:val="32"/>
          <w:szCs w:val="32"/>
          <w:lang w:val="en-US" w:eastAsia="zh-CN"/>
        </w:rPr>
        <w:t xml:space="preserve">                   宁波经济技术开发区投资合作局</w:t>
      </w:r>
    </w:p>
    <w:p>
      <w:pPr>
        <w:pStyle w:val="6"/>
        <w:keepNext w:val="0"/>
        <w:keepLines w:val="0"/>
        <w:widowControl/>
        <w:suppressLineNumbers w:val="0"/>
        <w:spacing w:before="0" w:beforeAutospacing="0" w:after="0" w:afterAutospacing="0" w:line="432" w:lineRule="auto"/>
        <w:ind w:firstLine="4800" w:firstLineChars="15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2022年1月6日</w:t>
      </w:r>
    </w:p>
    <w:sectPr>
      <w:footerReference r:id="rId3" w:type="default"/>
      <w:pgSz w:w="11906" w:h="16838"/>
      <w:pgMar w:top="1021" w:right="1797" w:bottom="73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E8E42B"/>
    <w:multiLevelType w:val="singleLevel"/>
    <w:tmpl w:val="81E8E4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7B"/>
    <w:rsid w:val="0005444E"/>
    <w:rsid w:val="0007005C"/>
    <w:rsid w:val="00967079"/>
    <w:rsid w:val="00B6637B"/>
    <w:rsid w:val="040D0183"/>
    <w:rsid w:val="041E1FE3"/>
    <w:rsid w:val="05822ED6"/>
    <w:rsid w:val="05877BA8"/>
    <w:rsid w:val="0614555C"/>
    <w:rsid w:val="06680A1C"/>
    <w:rsid w:val="06E2735E"/>
    <w:rsid w:val="071A792B"/>
    <w:rsid w:val="076A4292"/>
    <w:rsid w:val="07EF575E"/>
    <w:rsid w:val="09D96E67"/>
    <w:rsid w:val="0C8B0762"/>
    <w:rsid w:val="0D1C4C84"/>
    <w:rsid w:val="0ED94EA3"/>
    <w:rsid w:val="10170477"/>
    <w:rsid w:val="105E2E3C"/>
    <w:rsid w:val="142150D9"/>
    <w:rsid w:val="158D03BA"/>
    <w:rsid w:val="174D0C4C"/>
    <w:rsid w:val="187B5B1B"/>
    <w:rsid w:val="18E26947"/>
    <w:rsid w:val="1ADE51FA"/>
    <w:rsid w:val="1DAD31F8"/>
    <w:rsid w:val="1E201547"/>
    <w:rsid w:val="1E355899"/>
    <w:rsid w:val="1E8734A3"/>
    <w:rsid w:val="20CB59E2"/>
    <w:rsid w:val="20D144CC"/>
    <w:rsid w:val="22AC54A0"/>
    <w:rsid w:val="22E16099"/>
    <w:rsid w:val="24C30F46"/>
    <w:rsid w:val="2B7C6152"/>
    <w:rsid w:val="2C1B54AB"/>
    <w:rsid w:val="2C49404F"/>
    <w:rsid w:val="2CC62E9F"/>
    <w:rsid w:val="2D1B24D4"/>
    <w:rsid w:val="2E153B54"/>
    <w:rsid w:val="2F873B7D"/>
    <w:rsid w:val="2FFA2353"/>
    <w:rsid w:val="303E17E4"/>
    <w:rsid w:val="30965DA8"/>
    <w:rsid w:val="33C260A2"/>
    <w:rsid w:val="358F61A0"/>
    <w:rsid w:val="37413EBF"/>
    <w:rsid w:val="37733A24"/>
    <w:rsid w:val="3B320232"/>
    <w:rsid w:val="3C321465"/>
    <w:rsid w:val="3D5856DF"/>
    <w:rsid w:val="40817DB5"/>
    <w:rsid w:val="40A64016"/>
    <w:rsid w:val="412B212B"/>
    <w:rsid w:val="41313E32"/>
    <w:rsid w:val="41341F90"/>
    <w:rsid w:val="41CC5303"/>
    <w:rsid w:val="47495EF9"/>
    <w:rsid w:val="4848510A"/>
    <w:rsid w:val="48855859"/>
    <w:rsid w:val="48FC36C9"/>
    <w:rsid w:val="4AC645BC"/>
    <w:rsid w:val="4AE414AB"/>
    <w:rsid w:val="4FA1032B"/>
    <w:rsid w:val="50A5656F"/>
    <w:rsid w:val="52986144"/>
    <w:rsid w:val="5573097E"/>
    <w:rsid w:val="55DB7F8A"/>
    <w:rsid w:val="59C30AF0"/>
    <w:rsid w:val="5BB3522D"/>
    <w:rsid w:val="5BFB4434"/>
    <w:rsid w:val="5C94206E"/>
    <w:rsid w:val="5CBE72EF"/>
    <w:rsid w:val="5E0322D7"/>
    <w:rsid w:val="5E125266"/>
    <w:rsid w:val="5E5459A5"/>
    <w:rsid w:val="60DB18B7"/>
    <w:rsid w:val="61310D5E"/>
    <w:rsid w:val="61C053F9"/>
    <w:rsid w:val="61D45DEE"/>
    <w:rsid w:val="620603A1"/>
    <w:rsid w:val="638B647A"/>
    <w:rsid w:val="64142CD3"/>
    <w:rsid w:val="65395C5E"/>
    <w:rsid w:val="69D82275"/>
    <w:rsid w:val="6A4B70C9"/>
    <w:rsid w:val="6EFC3800"/>
    <w:rsid w:val="7184208C"/>
    <w:rsid w:val="74147F9F"/>
    <w:rsid w:val="74240E32"/>
    <w:rsid w:val="747E78E2"/>
    <w:rsid w:val="74872A4F"/>
    <w:rsid w:val="7512390D"/>
    <w:rsid w:val="76E77342"/>
    <w:rsid w:val="79261575"/>
    <w:rsid w:val="7B172993"/>
    <w:rsid w:val="7CC23612"/>
    <w:rsid w:val="7E0D315B"/>
    <w:rsid w:val="F9F7FC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unhideWhenUsed/>
    <w:qFormat/>
    <w:uiPriority w:val="99"/>
    <w:pPr>
      <w:spacing w:after="120"/>
      <w:ind w:left="420" w:leftChars="200"/>
    </w:pPr>
    <w:rPr>
      <w:rFonts w:hint="default"/>
      <w:sz w:val="21"/>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201</Words>
  <Characters>1146</Characters>
  <Lines>9</Lines>
  <Paragraphs>2</Paragraphs>
  <TotalTime>0</TotalTime>
  <ScaleCrop>false</ScaleCrop>
  <LinksUpToDate>false</LinksUpToDate>
  <CharactersWithSpaces>1345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2019-11-27T10:38:00Z</dcterms:created>
  <dc:creator>freeuser</dc:creator>
  <cp:lastModifiedBy>青花瓷</cp:lastModifiedBy>
  <cp:lastPrinted>2022-01-06T08:46:00Z</cp:lastPrinted>
  <dcterms:modified xsi:type="dcterms:W3CDTF">2022-01-25T07:45:40Z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woTemplateTypoMode" linkTarget="0">
    <vt:lpwstr>web</vt:lpwstr>
  </property>
  <property fmtid="{D5CDD505-2E9C-101B-9397-08002B2CF9AE}" pid="4" name="woTemplate" linkTarget="0">
    <vt:i4>1</vt:i4>
  </property>
</Properties>
</file>