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jc w:val="center"/>
        <w:rPr>
          <w:rFonts w:ascii="方正小标宋简体" w:hAnsi="方正小标宋简体" w:eastAsia="方正小标宋简体" w:cs="方正小标宋简体"/>
          <w:bCs/>
          <w:snapToGrid w:val="0"/>
          <w:color w:val="000000"/>
          <w:spacing w:val="-11"/>
          <w:sz w:val="36"/>
        </w:rPr>
      </w:pPr>
      <w:r>
        <w:rPr>
          <w:rFonts w:hint="eastAsia" w:ascii="方正小标宋简体" w:hAnsi="方正小标宋简体" w:eastAsia="方正小标宋简体" w:cs="方正小标宋简体"/>
          <w:bCs/>
          <w:snapToGrid w:val="0"/>
          <w:color w:val="000000"/>
          <w:spacing w:val="-11"/>
          <w:sz w:val="36"/>
        </w:rPr>
        <w:t>宁波市北仑区农业农村局2020年度政府信息公开工作</w:t>
      </w:r>
    </w:p>
    <w:p>
      <w:pPr>
        <w:pStyle w:val="4"/>
        <w:spacing w:before="0" w:beforeAutospacing="0" w:after="0" w:afterAutospacing="0" w:line="600" w:lineRule="exact"/>
        <w:jc w:val="center"/>
        <w:rPr>
          <w:rFonts w:ascii="方正小标宋简体" w:hAnsi="方正小标宋简体" w:eastAsia="方正小标宋简体" w:cs="方正小标宋简体"/>
          <w:bCs/>
          <w:snapToGrid w:val="0"/>
          <w:color w:val="000000"/>
          <w:spacing w:val="-11"/>
          <w:sz w:val="36"/>
        </w:rPr>
      </w:pPr>
      <w:r>
        <w:rPr>
          <w:rFonts w:hint="eastAsia" w:ascii="方正小标宋简体" w:hAnsi="方正小标宋简体" w:eastAsia="方正小标宋简体" w:cs="方正小标宋简体"/>
          <w:bCs/>
          <w:snapToGrid w:val="0"/>
          <w:color w:val="000000"/>
          <w:spacing w:val="-11"/>
          <w:sz w:val="36"/>
        </w:rPr>
        <w:t>年度报告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s="黑体"/>
          <w:bCs/>
          <w:color w:val="000000"/>
          <w:sz w:val="32"/>
          <w:szCs w:val="32"/>
        </w:rPr>
      </w:pPr>
      <w:r>
        <w:rPr>
          <w:rFonts w:hint="eastAsia" w:ascii="仿宋_GB2312" w:hAnsi="仿宋_GB2312" w:eastAsia="仿宋_GB2312" w:cs="仿宋_GB2312"/>
          <w:bCs/>
          <w:color w:val="000000"/>
          <w:sz w:val="32"/>
          <w:szCs w:val="32"/>
        </w:rPr>
        <w:t>根据《中华人民共和国政府信息公开条例》（以下简称《条例》）和《宁波市政府信息公开规定》，特向社会公布北仑区农业农村局20</w:t>
      </w: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rPr>
        <w:t>年度政府信息公开工作年度报告。报告中所列数据的统计期限为2020年1月1日到2020年12月31日止。</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一、总体情况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w:t>
      </w:r>
      <w:r>
        <w:rPr>
          <w:rFonts w:ascii="仿宋_GB2312" w:hAnsi="仿宋_GB2312" w:eastAsia="仿宋_GB2312" w:cs="仿宋_GB2312"/>
          <w:bCs/>
          <w:color w:val="000000"/>
          <w:sz w:val="32"/>
          <w:szCs w:val="32"/>
        </w:rPr>
        <w:t>020</w:t>
      </w:r>
      <w:r>
        <w:rPr>
          <w:rFonts w:hint="eastAsia" w:ascii="仿宋_GB2312" w:hAnsi="仿宋_GB2312" w:eastAsia="仿宋_GB2312" w:cs="仿宋_GB2312"/>
          <w:bCs/>
          <w:color w:val="000000"/>
          <w:sz w:val="32"/>
          <w:szCs w:val="32"/>
        </w:rPr>
        <w:t>年，宁波市北仑区农业农村局按照区政府信息公开工作的统一部署和要求，结合本单位实际情况，坚持以公开为常态、不公开为例外，突出重点、狠抓落实，稳妥推进政府信息公开各项工作。</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主动公开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000000"/>
          <w:sz w:val="32"/>
          <w:szCs w:val="32"/>
          <w:lang w:val="en-US" w:eastAsia="zh-CN"/>
        </w:rPr>
        <w:t>一是</w:t>
      </w:r>
      <w:r>
        <w:rPr>
          <w:rFonts w:hint="eastAsia" w:ascii="仿宋_GB2312" w:hAnsi="仿宋_GB2312" w:eastAsia="仿宋_GB2312" w:cs="仿宋_GB2312"/>
          <w:b/>
          <w:bCs w:val="0"/>
          <w:color w:val="000000"/>
          <w:sz w:val="32"/>
          <w:szCs w:val="32"/>
        </w:rPr>
        <w:t>加强组织领导。</w:t>
      </w:r>
      <w:r>
        <w:rPr>
          <w:rFonts w:hint="eastAsia" w:ascii="仿宋_GB2312" w:hAnsi="仿宋_GB2312" w:eastAsia="仿宋_GB2312" w:cs="仿宋_GB2312"/>
          <w:bCs/>
          <w:color w:val="000000"/>
          <w:sz w:val="32"/>
          <w:szCs w:val="32"/>
        </w:rPr>
        <w:t>成立北仑区农业农村局政府信息公开工作组，负责指导、督办全局政府信息公开工作的开展。专门召开会议研究部署相关工作，坚持将政府信息公开工作作为年度重要的工作列入议事日程，强化信息公开。</w:t>
      </w:r>
      <w:r>
        <w:rPr>
          <w:rFonts w:hint="eastAsia" w:ascii="仿宋_GB2312" w:hAnsi="仿宋_GB2312" w:eastAsia="仿宋_GB2312" w:cs="仿宋_GB2312"/>
          <w:b/>
          <w:bCs w:val="0"/>
          <w:color w:val="000000"/>
          <w:sz w:val="32"/>
          <w:szCs w:val="32"/>
          <w:lang w:val="en-US" w:eastAsia="zh-CN"/>
        </w:rPr>
        <w:t>二是</w:t>
      </w:r>
      <w:r>
        <w:rPr>
          <w:rFonts w:hint="eastAsia" w:ascii="仿宋_GB2312" w:hAnsi="仿宋_GB2312" w:eastAsia="仿宋_GB2312" w:cs="仿宋_GB2312"/>
          <w:b/>
          <w:bCs w:val="0"/>
          <w:color w:val="000000"/>
          <w:sz w:val="32"/>
          <w:szCs w:val="32"/>
        </w:rPr>
        <w:t>完善工作机制。</w:t>
      </w:r>
      <w:r>
        <w:rPr>
          <w:rFonts w:hint="eastAsia" w:ascii="仿宋_GB2312" w:hAnsi="仿宋_GB2312" w:eastAsia="仿宋_GB2312" w:cs="仿宋_GB2312"/>
          <w:bCs/>
          <w:color w:val="000000"/>
          <w:sz w:val="32"/>
          <w:szCs w:val="32"/>
        </w:rPr>
        <w:t>完善信息登记、审核、发布制度，结合各科室及下属单位职能特点梳理公开目录，明确信息公开工作职责分工，确保信息公开及时、准确、无误，促进政府信息公开工作制度化、规范化。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rPr>
        <w:t>20</w:t>
      </w: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rPr>
        <w:t>年1月1日至20</w:t>
      </w: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rPr>
        <w:t>年12月3</w:t>
      </w:r>
      <w:r>
        <w:rPr>
          <w:rFonts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rPr>
        <w:t>日，北仑区农业农村局政府信息公开网站对外公开5个主栏目、</w:t>
      </w:r>
      <w:r>
        <w:rPr>
          <w:rFonts w:ascii="仿宋_GB2312" w:hAnsi="仿宋_GB2312" w:eastAsia="仿宋_GB2312" w:cs="仿宋_GB2312"/>
          <w:bCs/>
          <w:color w:val="000000"/>
          <w:sz w:val="32"/>
          <w:szCs w:val="32"/>
        </w:rPr>
        <w:t>13</w:t>
      </w:r>
      <w:r>
        <w:rPr>
          <w:rFonts w:hint="eastAsia" w:ascii="仿宋_GB2312" w:hAnsi="仿宋_GB2312" w:eastAsia="仿宋_GB2312" w:cs="仿宋_GB2312"/>
          <w:bCs/>
          <w:color w:val="000000"/>
          <w:sz w:val="32"/>
          <w:szCs w:val="32"/>
        </w:rPr>
        <w:t>个子栏目，主动公开政府信</w:t>
      </w:r>
      <w:r>
        <w:rPr>
          <w:rFonts w:hint="eastAsia" w:ascii="仿宋_GB2312" w:hAnsi="仿宋_GB2312" w:eastAsia="仿宋_GB2312" w:cs="仿宋_GB2312"/>
          <w:bCs/>
          <w:color w:val="auto"/>
          <w:sz w:val="32"/>
          <w:szCs w:val="32"/>
        </w:rPr>
        <w:t>息</w:t>
      </w:r>
      <w:r>
        <w:rPr>
          <w:rFonts w:hint="eastAsia" w:ascii="仿宋_GB2312" w:hAnsi="仿宋_GB2312" w:eastAsia="仿宋_GB2312" w:cs="仿宋_GB2312"/>
          <w:bCs/>
          <w:color w:val="auto"/>
          <w:sz w:val="32"/>
          <w:szCs w:val="32"/>
          <w:lang w:val="en-US" w:eastAsia="zh-CN"/>
        </w:rPr>
        <w:t>296</w:t>
      </w:r>
      <w:r>
        <w:rPr>
          <w:rFonts w:hint="eastAsia" w:ascii="仿宋_GB2312" w:hAnsi="仿宋_GB2312" w:eastAsia="仿宋_GB2312" w:cs="仿宋_GB2312"/>
          <w:bCs/>
          <w:color w:val="auto"/>
          <w:sz w:val="32"/>
          <w:szCs w:val="32"/>
        </w:rPr>
        <w:t>条。主动公开的政府信息目录主要包括组织机构、法规文件、计划规划、财政信息、民生保障、应急管理、监督检查、人事信息、议案（建议）提案等内容，其中组织机构35条，占1</w:t>
      </w:r>
      <w:r>
        <w:rPr>
          <w:rFonts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％；人事信息1</w:t>
      </w:r>
      <w:r>
        <w:rPr>
          <w:rFonts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rPr>
        <w:t>条，占4</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%；公告公</w:t>
      </w:r>
      <w:r>
        <w:rPr>
          <w:rFonts w:hint="eastAsia" w:ascii="仿宋_GB2312" w:hAnsi="仿宋_GB2312" w:eastAsia="仿宋_GB2312" w:cs="仿宋_GB2312"/>
          <w:bCs/>
          <w:color w:val="auto"/>
          <w:sz w:val="32"/>
          <w:szCs w:val="32"/>
          <w:lang w:val="en-US" w:eastAsia="zh-CN"/>
        </w:rPr>
        <w:t>示</w:t>
      </w:r>
      <w:r>
        <w:rPr>
          <w:rFonts w:hint="eastAsia" w:ascii="仿宋_GB2312" w:hAnsi="仿宋_GB2312" w:eastAsia="仿宋_GB2312" w:cs="仿宋_GB2312"/>
          <w:bCs/>
          <w:color w:val="auto"/>
          <w:sz w:val="32"/>
          <w:szCs w:val="32"/>
        </w:rPr>
        <w:t>通知1</w:t>
      </w:r>
      <w:r>
        <w:rPr>
          <w:rFonts w:ascii="仿宋_GB2312" w:hAnsi="仿宋_GB2312" w:eastAsia="仿宋_GB2312" w:cs="仿宋_GB2312"/>
          <w:bCs/>
          <w:color w:val="auto"/>
          <w:sz w:val="32"/>
          <w:szCs w:val="32"/>
        </w:rPr>
        <w:t>35</w:t>
      </w:r>
      <w:r>
        <w:rPr>
          <w:rFonts w:hint="eastAsia" w:ascii="仿宋_GB2312" w:hAnsi="仿宋_GB2312" w:eastAsia="仿宋_GB2312" w:cs="仿宋_GB2312"/>
          <w:bCs/>
          <w:color w:val="auto"/>
          <w:sz w:val="32"/>
          <w:szCs w:val="32"/>
        </w:rPr>
        <w:t>条，占4</w:t>
      </w:r>
      <w:r>
        <w:rPr>
          <w:rFonts w:hint="eastAsia" w:ascii="仿宋_GB2312" w:hAnsi="仿宋_GB2312" w:eastAsia="仿宋_GB2312" w:cs="仿宋_GB2312"/>
          <w:bCs/>
          <w:color w:val="auto"/>
          <w:sz w:val="32"/>
          <w:szCs w:val="32"/>
          <w:lang w:val="en-US" w:eastAsia="zh-CN"/>
        </w:rPr>
        <w:t>5.6</w:t>
      </w:r>
      <w:r>
        <w:rPr>
          <w:rFonts w:hint="eastAsia" w:ascii="仿宋_GB2312" w:hAnsi="仿宋_GB2312" w:eastAsia="仿宋_GB2312" w:cs="仿宋_GB2312"/>
          <w:bCs/>
          <w:color w:val="auto"/>
          <w:sz w:val="32"/>
          <w:szCs w:val="32"/>
        </w:rPr>
        <w:t>%；政务动态5</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条，占1</w:t>
      </w:r>
      <w:r>
        <w:rPr>
          <w:rFonts w:ascii="仿宋_GB2312" w:hAnsi="仿宋_GB2312" w:eastAsia="仿宋_GB2312" w:cs="仿宋_GB2312"/>
          <w:bCs/>
          <w:color w:val="auto"/>
          <w:sz w:val="32"/>
          <w:szCs w:val="32"/>
        </w:rPr>
        <w:t>9.</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%；主动公开其他信息3</w:t>
      </w:r>
      <w:r>
        <w:rPr>
          <w:rFonts w:ascii="仿宋_GB2312" w:hAnsi="仿宋_GB2312" w:eastAsia="仿宋_GB2312" w:cs="仿宋_GB2312"/>
          <w:bCs/>
          <w:color w:val="auto"/>
          <w:sz w:val="32"/>
          <w:szCs w:val="32"/>
        </w:rPr>
        <w:t>8</w:t>
      </w:r>
      <w:r>
        <w:rPr>
          <w:rFonts w:hint="eastAsia" w:ascii="仿宋_GB2312" w:hAnsi="仿宋_GB2312" w:eastAsia="仿宋_GB2312" w:cs="仿宋_GB2312"/>
          <w:bCs/>
          <w:color w:val="auto"/>
          <w:sz w:val="32"/>
          <w:szCs w:val="32"/>
        </w:rPr>
        <w:t>条，占1</w:t>
      </w:r>
      <w:r>
        <w:rPr>
          <w:rFonts w:hint="eastAsia" w:ascii="仿宋_GB2312" w:hAnsi="仿宋_GB2312" w:eastAsia="仿宋_GB2312" w:cs="仿宋_GB2312"/>
          <w:bCs/>
          <w:color w:val="auto"/>
          <w:sz w:val="32"/>
          <w:szCs w:val="32"/>
          <w:lang w:val="en-US" w:eastAsia="zh-CN"/>
        </w:rPr>
        <w:t>2.8</w:t>
      </w:r>
      <w:r>
        <w:rPr>
          <w:rFonts w:hint="eastAsia" w:ascii="仿宋_GB2312" w:hAnsi="仿宋_GB2312" w:eastAsia="仿宋_GB2312" w:cs="仿宋_GB2312"/>
          <w:bCs/>
          <w:color w:val="auto"/>
          <w:sz w:val="32"/>
          <w:szCs w:val="32"/>
        </w:rPr>
        <w:t>%；法规文件、计划规划等其它信息</w:t>
      </w:r>
      <w:r>
        <w:rPr>
          <w:rFonts w:hint="eastAsia" w:ascii="仿宋_GB2312" w:hAnsi="仿宋_GB2312" w:eastAsia="仿宋_GB2312" w:cs="仿宋_GB2312"/>
          <w:bCs/>
          <w:color w:val="auto"/>
          <w:sz w:val="32"/>
          <w:szCs w:val="32"/>
          <w:lang w:val="en-US" w:eastAsia="zh-CN"/>
        </w:rPr>
        <w:t>17</w:t>
      </w:r>
      <w:r>
        <w:rPr>
          <w:rFonts w:hint="eastAsia" w:ascii="仿宋_GB2312" w:hAnsi="仿宋_GB2312" w:eastAsia="仿宋_GB2312" w:cs="仿宋_GB2312"/>
          <w:bCs/>
          <w:color w:val="auto"/>
          <w:sz w:val="32"/>
          <w:szCs w:val="32"/>
        </w:rPr>
        <w:t>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做好低收入农户帮扶工作信息公开。经过对我区2020年低收入农户帮扶过程中出台的重要政策文件，工作开展过程印发的会议、通知等各类文件，报送的动态信息及汇报材料等文件的梳理，共公开材料10</w:t>
      </w:r>
      <w:r>
        <w:rPr>
          <w:rFonts w:hint="eastAsia" w:ascii="仿宋_GB2312" w:hAnsi="仿宋_GB2312" w:eastAsia="仿宋_GB2312" w:cs="仿宋_GB2312"/>
          <w:bCs/>
          <w:color w:val="auto"/>
          <w:sz w:val="32"/>
          <w:szCs w:val="32"/>
          <w:lang w:val="en-US" w:eastAsia="zh-CN"/>
        </w:rPr>
        <w:t>条</w:t>
      </w:r>
      <w:r>
        <w:rPr>
          <w:rFonts w:hint="eastAsia" w:ascii="仿宋_GB2312" w:hAnsi="仿宋_GB2312" w:eastAsia="仿宋_GB2312" w:cs="仿宋_GB2312"/>
          <w:bCs/>
          <w:color w:val="auto"/>
          <w:sz w:val="32"/>
          <w:szCs w:val="32"/>
        </w:rPr>
        <w:t>，其中公开《宁波市北仑区农业农村局关于做好2020年度北仑区低收入农户精准扶持增收项目申报的通知》等政策文件3</w:t>
      </w:r>
      <w:r>
        <w:rPr>
          <w:rFonts w:hint="eastAsia" w:ascii="仿宋_GB2312" w:hAnsi="仿宋_GB2312" w:eastAsia="仿宋_GB2312" w:cs="仿宋_GB2312"/>
          <w:bCs/>
          <w:color w:val="auto"/>
          <w:sz w:val="32"/>
          <w:szCs w:val="32"/>
          <w:lang w:val="en-US" w:eastAsia="zh-CN"/>
        </w:rPr>
        <w:t>条</w:t>
      </w:r>
      <w:r>
        <w:rPr>
          <w:rFonts w:hint="eastAsia" w:ascii="仿宋_GB2312" w:hAnsi="仿宋_GB2312" w:eastAsia="仿宋_GB2312" w:cs="仿宋_GB2312"/>
          <w:bCs/>
          <w:color w:val="auto"/>
          <w:sz w:val="32"/>
          <w:szCs w:val="32"/>
        </w:rPr>
        <w:t>，公开《北仑区低收入农户“一户一策一干部”落实情况小结》等工作进展共3</w:t>
      </w:r>
      <w:r>
        <w:rPr>
          <w:rFonts w:hint="eastAsia" w:ascii="仿宋_GB2312" w:hAnsi="仿宋_GB2312" w:eastAsia="仿宋_GB2312" w:cs="仿宋_GB2312"/>
          <w:bCs/>
          <w:color w:val="auto"/>
          <w:sz w:val="32"/>
          <w:szCs w:val="32"/>
          <w:lang w:val="en-US" w:eastAsia="zh-CN"/>
        </w:rPr>
        <w:t>条</w:t>
      </w:r>
      <w:r>
        <w:rPr>
          <w:rFonts w:hint="eastAsia" w:ascii="仿宋_GB2312" w:hAnsi="仿宋_GB2312" w:eastAsia="仿宋_GB2312" w:cs="仿宋_GB2312"/>
          <w:bCs/>
          <w:color w:val="auto"/>
          <w:sz w:val="32"/>
          <w:szCs w:val="32"/>
        </w:rPr>
        <w:t>，公开《北仑区全面开展低收入农户综合性保险工作》等信息材料4</w:t>
      </w:r>
      <w:r>
        <w:rPr>
          <w:rFonts w:hint="eastAsia" w:ascii="仿宋_GB2312" w:hAnsi="仿宋_GB2312" w:eastAsia="仿宋_GB2312" w:cs="仿宋_GB2312"/>
          <w:bCs/>
          <w:color w:val="auto"/>
          <w:sz w:val="32"/>
          <w:szCs w:val="32"/>
          <w:lang w:val="en-US" w:eastAsia="zh-CN"/>
        </w:rPr>
        <w:t>条</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做好财政资金直达基层情况信息公开，</w:t>
      </w:r>
      <w:r>
        <w:rPr>
          <w:rFonts w:hint="eastAsia" w:ascii="仿宋_GB2312" w:hAnsi="仿宋_GB2312" w:eastAsia="仿宋_GB2312" w:cs="仿宋_GB2312"/>
          <w:bCs/>
          <w:color w:val="auto"/>
          <w:sz w:val="32"/>
          <w:szCs w:val="32"/>
        </w:rPr>
        <w:t>2020年无中央资金直达基层情况。</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依申请公开</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一是规范答复流程。</w:t>
      </w:r>
      <w:r>
        <w:rPr>
          <w:rFonts w:hint="eastAsia" w:ascii="仿宋_GB2312" w:hAnsi="仿宋_GB2312" w:eastAsia="仿宋_GB2312" w:cs="仿宋_GB2312"/>
          <w:bCs/>
          <w:color w:val="000000"/>
          <w:sz w:val="32"/>
          <w:szCs w:val="32"/>
        </w:rPr>
        <w:t>进一步完善依申请公开办理机制，</w:t>
      </w:r>
      <w:r>
        <w:rPr>
          <w:rFonts w:hint="eastAsia" w:ascii="仿宋_GB2312" w:hAnsi="仿宋_GB2312" w:eastAsia="仿宋_GB2312" w:cs="仿宋_GB2312"/>
          <w:bCs/>
          <w:color w:val="000000"/>
          <w:sz w:val="32"/>
          <w:szCs w:val="32"/>
          <w:lang w:val="en-US" w:eastAsia="zh-CN"/>
        </w:rPr>
        <w:t>细化办理流程，落实全过程存档制度，倒逼工作规范开展，保证程序正当。2020年</w:t>
      </w:r>
      <w:r>
        <w:rPr>
          <w:rFonts w:hint="eastAsia" w:ascii="仿宋_GB2312" w:hAnsi="仿宋_GB2312" w:eastAsia="仿宋_GB2312" w:cs="仿宋_GB2312"/>
          <w:bCs/>
          <w:color w:val="auto"/>
          <w:sz w:val="32"/>
          <w:szCs w:val="32"/>
        </w:rPr>
        <w:t>共收到政府信息依申请公开</w:t>
      </w:r>
      <w:r>
        <w:rPr>
          <w:rFonts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rPr>
        <w:t>件</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无涉诉案件。</w:t>
      </w:r>
      <w:r>
        <w:rPr>
          <w:rFonts w:hint="eastAsia" w:ascii="仿宋_GB2312" w:hAnsi="仿宋_GB2312" w:eastAsia="仿宋_GB2312" w:cs="仿宋_GB2312"/>
          <w:b/>
          <w:bCs w:val="0"/>
          <w:color w:val="000000"/>
          <w:sz w:val="32"/>
          <w:szCs w:val="32"/>
          <w:lang w:val="en-US" w:eastAsia="zh-CN"/>
        </w:rPr>
        <w:t>二是提高答复效率。</w:t>
      </w:r>
      <w:r>
        <w:rPr>
          <w:rFonts w:hint="eastAsia" w:ascii="仿宋_GB2312" w:hAnsi="仿宋_GB2312" w:eastAsia="仿宋_GB2312" w:cs="仿宋_GB2312"/>
          <w:bCs/>
          <w:color w:val="000000"/>
          <w:sz w:val="32"/>
          <w:szCs w:val="32"/>
          <w:lang w:val="en-US" w:eastAsia="zh-CN"/>
        </w:rPr>
        <w:t>准确把握收到日期、补正日期、征求意见日期、答复日期、复议诉讼期限五个时间节点，熟练掌握依申请公开基本程序，</w:t>
      </w:r>
      <w:r>
        <w:rPr>
          <w:rFonts w:hint="eastAsia" w:ascii="仿宋_GB2312" w:hAnsi="仿宋_GB2312" w:eastAsia="仿宋_GB2312" w:cs="仿宋_GB2312"/>
          <w:bCs/>
          <w:color w:val="000000"/>
          <w:sz w:val="32"/>
          <w:szCs w:val="32"/>
        </w:rPr>
        <w:t>方便群众及时获取所需信息。</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政府信息管理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一是</w:t>
      </w:r>
      <w:r>
        <w:rPr>
          <w:rFonts w:hint="eastAsia" w:ascii="仿宋_GB2312" w:hAnsi="仿宋_GB2312" w:eastAsia="仿宋_GB2312" w:cs="仿宋_GB2312"/>
          <w:b/>
          <w:bCs w:val="0"/>
          <w:color w:val="000000"/>
          <w:sz w:val="32"/>
          <w:szCs w:val="32"/>
        </w:rPr>
        <w:t>强化日常管理。</w:t>
      </w:r>
      <w:r>
        <w:rPr>
          <w:rFonts w:hint="eastAsia" w:ascii="仿宋_GB2312" w:hAnsi="仿宋_GB2312" w:eastAsia="仿宋_GB2312" w:cs="仿宋_GB2312"/>
          <w:b w:val="0"/>
          <w:bCs/>
          <w:color w:val="000000"/>
          <w:sz w:val="32"/>
          <w:szCs w:val="32"/>
          <w:lang w:val="en-US" w:eastAsia="zh-CN"/>
        </w:rPr>
        <w:t>规范政府公文制作，巩固政府信息公开基础。</w:t>
      </w:r>
      <w:r>
        <w:rPr>
          <w:rFonts w:hint="eastAsia" w:ascii="仿宋_GB2312" w:hAnsi="仿宋_GB2312" w:eastAsia="仿宋_GB2312" w:cs="仿宋_GB2312"/>
          <w:bCs/>
          <w:color w:val="000000"/>
          <w:sz w:val="32"/>
          <w:szCs w:val="32"/>
        </w:rPr>
        <w:t>做好政府信息的日常管理</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制定</w:t>
      </w:r>
      <w:r>
        <w:rPr>
          <w:rFonts w:hint="eastAsia" w:ascii="仿宋_GB2312" w:hAnsi="仿宋_GB2312" w:eastAsia="仿宋_GB2312" w:cs="仿宋_GB2312"/>
          <w:b w:val="0"/>
          <w:bCs/>
          <w:color w:val="000000"/>
          <w:sz w:val="32"/>
          <w:szCs w:val="32"/>
          <w:lang w:val="en-US" w:eastAsia="zh-CN"/>
        </w:rPr>
        <w:t>北仑区农业农村局主动公开政府信息目录清单。落实专人管理，</w:t>
      </w:r>
      <w:r>
        <w:rPr>
          <w:rFonts w:hint="eastAsia" w:ascii="仿宋_GB2312" w:hAnsi="仿宋_GB2312" w:eastAsia="仿宋_GB2312" w:cs="仿宋_GB2312"/>
          <w:bCs/>
          <w:color w:val="000000"/>
          <w:sz w:val="32"/>
          <w:szCs w:val="32"/>
        </w:rPr>
        <w:t>加强管理人员学习培训</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
          <w:bCs w:val="0"/>
          <w:color w:val="000000"/>
          <w:sz w:val="32"/>
          <w:szCs w:val="32"/>
          <w:lang w:val="en-US" w:eastAsia="zh-CN"/>
        </w:rPr>
        <w:t>二是强化公开管理。</w:t>
      </w:r>
      <w:r>
        <w:rPr>
          <w:rFonts w:hint="eastAsia" w:ascii="仿宋_GB2312" w:hAnsi="仿宋_GB2312" w:eastAsia="仿宋_GB2312" w:cs="仿宋_GB2312"/>
          <w:b w:val="0"/>
          <w:bCs/>
          <w:color w:val="000000"/>
          <w:sz w:val="32"/>
          <w:szCs w:val="32"/>
          <w:lang w:val="en-US" w:eastAsia="zh-CN"/>
        </w:rPr>
        <w:t>做好政府信息公开的管理、组织、协调</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Cs/>
          <w:color w:val="000000"/>
          <w:sz w:val="32"/>
          <w:szCs w:val="32"/>
        </w:rPr>
        <w:t>进一步提高政府信息主动公开内容质量，做到常年公开、定期公开与随时公开相结合，事前公开与事后公开相结合。</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平台建设</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一是推进标准化建设。</w:t>
      </w:r>
      <w:r>
        <w:rPr>
          <w:rFonts w:hint="eastAsia" w:ascii="仿宋_GB2312" w:hAnsi="仿宋_GB2312" w:eastAsia="仿宋_GB2312" w:cs="仿宋_GB2312"/>
          <w:bCs/>
          <w:color w:val="000000"/>
          <w:sz w:val="32"/>
          <w:szCs w:val="32"/>
          <w:lang w:val="en-US" w:eastAsia="zh-CN"/>
        </w:rPr>
        <w:t>按照区政府信息公开工作的统一部署和要求，做好平台标准化建设工作。不断提升政府信息公开网站功能。同时，结合本单位实际情况，增加农机购置补贴信息公开专栏。</w:t>
      </w:r>
      <w:r>
        <w:rPr>
          <w:rFonts w:hint="eastAsia" w:ascii="仿宋_GB2312" w:hAnsi="仿宋_GB2312" w:eastAsia="仿宋_GB2312" w:cs="仿宋_GB2312"/>
          <w:b/>
          <w:bCs w:val="0"/>
          <w:color w:val="000000"/>
          <w:sz w:val="32"/>
          <w:szCs w:val="32"/>
          <w:lang w:val="en-US" w:eastAsia="zh-CN"/>
        </w:rPr>
        <w:t>二是做好常态化维护。</w:t>
      </w:r>
      <w:r>
        <w:rPr>
          <w:rFonts w:hint="eastAsia" w:ascii="仿宋_GB2312" w:hAnsi="仿宋_GB2312" w:eastAsia="仿宋_GB2312" w:cs="仿宋_GB2312"/>
          <w:bCs/>
          <w:color w:val="000000"/>
          <w:sz w:val="32"/>
          <w:szCs w:val="32"/>
          <w:lang w:val="en-US" w:eastAsia="zh-CN"/>
        </w:rPr>
        <w:t>按照政府信息公开要求，做好信息栏目的日常管理，包括各类栏目设置的规范化调整、各类信息的及时更新，进一步提升平台的规范性、时效性和实用性。</w:t>
      </w:r>
      <w:bookmarkStart w:id="0" w:name="_GoBack"/>
      <w:bookmarkEnd w:id="0"/>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监督保障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一是拓宽政府信息公开监督范围。</w:t>
      </w:r>
      <w:r>
        <w:rPr>
          <w:rFonts w:hint="eastAsia" w:ascii="仿宋_GB2312" w:hAnsi="仿宋_GB2312" w:eastAsia="仿宋_GB2312" w:cs="仿宋_GB2312"/>
          <w:bCs/>
          <w:color w:val="auto"/>
          <w:sz w:val="32"/>
          <w:szCs w:val="32"/>
          <w:lang w:val="en-US" w:eastAsia="zh-CN"/>
        </w:rPr>
        <w:t>通过政府信息公开网站，在政府信息公开指南栏目做好咨询电话、联系地址等信息的公开，在组织机构栏目做好相应人员联系方式的公开，同时通过线下政务服务中心窗口，主动接受群众监督。</w:t>
      </w:r>
      <w:r>
        <w:rPr>
          <w:rFonts w:hint="eastAsia" w:ascii="仿宋_GB2312" w:hAnsi="仿宋_GB2312" w:eastAsia="仿宋_GB2312" w:cs="仿宋_GB2312"/>
          <w:b/>
          <w:bCs w:val="0"/>
          <w:color w:val="auto"/>
          <w:sz w:val="32"/>
          <w:szCs w:val="32"/>
          <w:lang w:val="en-US" w:eastAsia="zh-CN"/>
        </w:rPr>
        <w:t>二是强化信息检测问题举一反三。</w:t>
      </w:r>
      <w:r>
        <w:rPr>
          <w:rFonts w:hint="eastAsia" w:ascii="仿宋_GB2312" w:hAnsi="仿宋_GB2312" w:eastAsia="仿宋_GB2312" w:cs="仿宋_GB2312"/>
          <w:bCs/>
          <w:color w:val="auto"/>
          <w:sz w:val="32"/>
          <w:szCs w:val="32"/>
          <w:lang w:val="en-US" w:eastAsia="zh-CN"/>
        </w:rPr>
        <w:t>根据月度网站监测报告、季度政府信息公开检查报告、自查整改等要求，及时开展政府信息公开自查，全面落实整改工作。在进一步梳理存在问题的基础上，做好问题剖析和总结，避免问题反复出现，提高政府信息公开准确性。</w:t>
      </w:r>
    </w:p>
    <w:p>
      <w:pPr>
        <w:pStyle w:val="4"/>
        <w:spacing w:before="0" w:beforeAutospacing="0" w:after="0" w:afterAutospacing="0" w:line="600" w:lineRule="exact"/>
        <w:ind w:firstLine="420"/>
        <w:jc w:val="both"/>
        <w:rPr>
          <w:rFonts w:ascii="黑体" w:hAnsi="黑体" w:eastAsia="黑体" w:cs="黑体"/>
          <w:bCs/>
          <w:color w:val="000000"/>
          <w:sz w:val="32"/>
          <w:szCs w:val="32"/>
        </w:rPr>
      </w:pPr>
      <w:r>
        <w:rPr>
          <w:rFonts w:hint="eastAsia" w:ascii="黑体" w:hAnsi="黑体" w:eastAsia="黑体" w:cs="黑体"/>
          <w:bCs/>
          <w:color w:val="000000"/>
          <w:sz w:val="32"/>
          <w:szCs w:val="32"/>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520" w:hRule="exact"/>
          <w:jc w:val="center"/>
        </w:trPr>
        <w:tc>
          <w:tcPr>
            <w:tcW w:w="8140" w:type="dxa"/>
            <w:gridSpan w:val="5"/>
            <w:tcBorders>
              <w:top w:val="single" w:color="auto" w:sz="8" w:space="0"/>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第二十条第（一）项</w:t>
            </w:r>
          </w:p>
        </w:tc>
      </w:tr>
      <w:tr>
        <w:tblPrEx>
          <w:tblCellMar>
            <w:top w:w="0" w:type="dxa"/>
            <w:left w:w="0" w:type="dxa"/>
            <w:bottom w:w="0" w:type="dxa"/>
            <w:right w:w="0" w:type="dxa"/>
          </w:tblCellMar>
        </w:tblPrEx>
        <w:trPr>
          <w:trHeight w:val="767"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信息内容</w:t>
            </w:r>
          </w:p>
        </w:tc>
        <w:tc>
          <w:tcPr>
            <w:tcW w:w="1875"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本年新</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制作数量</w:t>
            </w:r>
          </w:p>
        </w:tc>
        <w:tc>
          <w:tcPr>
            <w:tcW w:w="1271" w:type="dxa"/>
            <w:gridSpan w:val="2"/>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本年新</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公开数量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对外公开总数量</w:t>
            </w:r>
          </w:p>
        </w:tc>
      </w:tr>
      <w:tr>
        <w:tblPrEx>
          <w:tblCellMar>
            <w:top w:w="0" w:type="dxa"/>
            <w:left w:w="0" w:type="dxa"/>
            <w:bottom w:w="0" w:type="dxa"/>
            <w:right w:w="0" w:type="dxa"/>
          </w:tblCellMar>
        </w:tblPrEx>
        <w:trPr>
          <w:trHeight w:val="458"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规章</w:t>
            </w:r>
          </w:p>
        </w:tc>
        <w:tc>
          <w:tcPr>
            <w:tcW w:w="187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1271" w:type="dxa"/>
            <w:gridSpan w:val="2"/>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r>
      <w:tr>
        <w:tblPrEx>
          <w:tblCellMar>
            <w:top w:w="0" w:type="dxa"/>
            <w:left w:w="0" w:type="dxa"/>
            <w:bottom w:w="0" w:type="dxa"/>
            <w:right w:w="0" w:type="dxa"/>
          </w:tblCellMar>
        </w:tblPrEx>
        <w:trPr>
          <w:trHeight w:val="44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规范性文件</w:t>
            </w:r>
          </w:p>
        </w:tc>
        <w:tc>
          <w:tcPr>
            <w:tcW w:w="187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1271" w:type="dxa"/>
            <w:gridSpan w:val="2"/>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r>
      <w:tr>
        <w:tblPrEx>
          <w:tblCellMar>
            <w:top w:w="0" w:type="dxa"/>
            <w:left w:w="0" w:type="dxa"/>
            <w:bottom w:w="0" w:type="dxa"/>
            <w:right w:w="0" w:type="dxa"/>
          </w:tblCellMar>
        </w:tblPrEx>
        <w:trPr>
          <w:trHeight w:val="442" w:hRule="exact"/>
          <w:jc w:val="center"/>
        </w:trPr>
        <w:tc>
          <w:tcPr>
            <w:tcW w:w="8140" w:type="dxa"/>
            <w:gridSpan w:val="5"/>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第二十条第（五）项</w:t>
            </w:r>
          </w:p>
        </w:tc>
      </w:tr>
      <w:tr>
        <w:tblPrEx>
          <w:tblCellMar>
            <w:top w:w="0" w:type="dxa"/>
            <w:left w:w="0" w:type="dxa"/>
            <w:bottom w:w="0" w:type="dxa"/>
            <w:right w:w="0" w:type="dxa"/>
          </w:tblCellMar>
        </w:tblPrEx>
        <w:trPr>
          <w:trHeight w:val="524"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信息内容</w:t>
            </w:r>
          </w:p>
        </w:tc>
        <w:tc>
          <w:tcPr>
            <w:tcW w:w="1875"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上一年项目数量</w:t>
            </w:r>
          </w:p>
        </w:tc>
        <w:tc>
          <w:tcPr>
            <w:tcW w:w="1271" w:type="dxa"/>
            <w:gridSpan w:val="2"/>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本年增/减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处理决定数量</w:t>
            </w:r>
          </w:p>
        </w:tc>
      </w:tr>
      <w:tr>
        <w:tblPrEx>
          <w:tblCellMar>
            <w:top w:w="0" w:type="dxa"/>
            <w:left w:w="0" w:type="dxa"/>
            <w:bottom w:w="0" w:type="dxa"/>
            <w:right w:w="0" w:type="dxa"/>
          </w:tblCellMar>
        </w:tblPrEx>
        <w:trPr>
          <w:trHeight w:val="378"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05</w:t>
            </w:r>
          </w:p>
        </w:tc>
        <w:tc>
          <w:tcPr>
            <w:tcW w:w="126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3</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62437</w:t>
            </w:r>
          </w:p>
        </w:tc>
      </w:tr>
      <w:tr>
        <w:tblPrEx>
          <w:tblCellMar>
            <w:top w:w="0" w:type="dxa"/>
            <w:left w:w="0" w:type="dxa"/>
            <w:bottom w:w="0" w:type="dxa"/>
            <w:right w:w="0" w:type="dxa"/>
          </w:tblCellMar>
        </w:tblPrEx>
        <w:trPr>
          <w:trHeight w:val="440"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其他对外管理服务事项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3</w:t>
            </w:r>
          </w:p>
        </w:tc>
        <w:tc>
          <w:tcPr>
            <w:tcW w:w="126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5</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3</w:t>
            </w:r>
          </w:p>
        </w:tc>
      </w:tr>
      <w:tr>
        <w:tblPrEx>
          <w:tblCellMar>
            <w:top w:w="0" w:type="dxa"/>
            <w:left w:w="0" w:type="dxa"/>
            <w:bottom w:w="0" w:type="dxa"/>
            <w:right w:w="0" w:type="dxa"/>
          </w:tblCellMar>
        </w:tblPrEx>
        <w:trPr>
          <w:trHeight w:val="457" w:hRule="exact"/>
          <w:jc w:val="center"/>
        </w:trPr>
        <w:tc>
          <w:tcPr>
            <w:tcW w:w="8140" w:type="dxa"/>
            <w:gridSpan w:val="5"/>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第二十条第（六）项</w:t>
            </w:r>
          </w:p>
        </w:tc>
      </w:tr>
      <w:tr>
        <w:tblPrEx>
          <w:tblCellMar>
            <w:top w:w="0" w:type="dxa"/>
            <w:left w:w="0" w:type="dxa"/>
            <w:bottom w:w="0" w:type="dxa"/>
            <w:right w:w="0" w:type="dxa"/>
          </w:tblCellMar>
        </w:tblPrEx>
        <w:trPr>
          <w:trHeight w:val="509"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信息内容</w:t>
            </w:r>
          </w:p>
        </w:tc>
        <w:tc>
          <w:tcPr>
            <w:tcW w:w="1875"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上一年项目数量</w:t>
            </w:r>
          </w:p>
        </w:tc>
        <w:tc>
          <w:tcPr>
            <w:tcW w:w="1271" w:type="dxa"/>
            <w:gridSpan w:val="2"/>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本年增/减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处理决定数量</w:t>
            </w:r>
          </w:p>
        </w:tc>
      </w:tr>
      <w:tr>
        <w:tblPrEx>
          <w:tblCellMar>
            <w:top w:w="0" w:type="dxa"/>
            <w:left w:w="0" w:type="dxa"/>
            <w:bottom w:w="0" w:type="dxa"/>
            <w:right w:w="0" w:type="dxa"/>
          </w:tblCellMar>
        </w:tblPrEx>
        <w:trPr>
          <w:trHeight w:val="45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59</w:t>
            </w:r>
          </w:p>
        </w:tc>
        <w:tc>
          <w:tcPr>
            <w:tcW w:w="126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9</w:t>
            </w:r>
          </w:p>
        </w:tc>
      </w:tr>
      <w:tr>
        <w:tblPrEx>
          <w:tblCellMar>
            <w:top w:w="0" w:type="dxa"/>
            <w:left w:w="0" w:type="dxa"/>
            <w:bottom w:w="0" w:type="dxa"/>
            <w:right w:w="0" w:type="dxa"/>
          </w:tblCellMar>
        </w:tblPrEx>
        <w:trPr>
          <w:trHeight w:val="502" w:hRule="exact"/>
          <w:jc w:val="center"/>
        </w:trPr>
        <w:tc>
          <w:tcPr>
            <w:tcW w:w="311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行政强制</w:t>
            </w:r>
          </w:p>
        </w:tc>
        <w:tc>
          <w:tcPr>
            <w:tcW w:w="1881" w:type="dxa"/>
            <w:gridSpan w:val="2"/>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0</w:t>
            </w:r>
          </w:p>
        </w:tc>
        <w:tc>
          <w:tcPr>
            <w:tcW w:w="1265"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1881"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0</w:t>
            </w:r>
          </w:p>
        </w:tc>
      </w:tr>
      <w:tr>
        <w:tblPrEx>
          <w:tblCellMar>
            <w:top w:w="0" w:type="dxa"/>
            <w:left w:w="0" w:type="dxa"/>
            <w:bottom w:w="0" w:type="dxa"/>
            <w:right w:w="0" w:type="dxa"/>
          </w:tblCellMar>
        </w:tblPrEx>
        <w:trPr>
          <w:trHeight w:val="532" w:hRule="exact"/>
          <w:jc w:val="center"/>
        </w:trPr>
        <w:tc>
          <w:tcPr>
            <w:tcW w:w="8140" w:type="dxa"/>
            <w:gridSpan w:val="5"/>
            <w:tcBorders>
              <w:top w:val="single" w:color="auto" w:sz="8" w:space="0"/>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第二十条第（八）项</w:t>
            </w:r>
          </w:p>
        </w:tc>
      </w:tr>
      <w:tr>
        <w:tblPrEx>
          <w:tblCellMar>
            <w:top w:w="0" w:type="dxa"/>
            <w:left w:w="0" w:type="dxa"/>
            <w:bottom w:w="0" w:type="dxa"/>
            <w:right w:w="0" w:type="dxa"/>
          </w:tblCellMar>
        </w:tblPrEx>
        <w:trPr>
          <w:trHeight w:val="437"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信息内容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上一年项目数量</w:t>
            </w:r>
          </w:p>
        </w:tc>
        <w:tc>
          <w:tcPr>
            <w:tcW w:w="3146" w:type="dxa"/>
            <w:gridSpan w:val="2"/>
            <w:tcBorders>
              <w:top w:val="single" w:color="auto" w:sz="8" w:space="0"/>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本年增/减</w:t>
            </w:r>
          </w:p>
        </w:tc>
      </w:tr>
      <w:tr>
        <w:tblPrEx>
          <w:tblCellMar>
            <w:top w:w="0" w:type="dxa"/>
            <w:left w:w="0" w:type="dxa"/>
            <w:bottom w:w="0" w:type="dxa"/>
            <w:right w:w="0" w:type="dxa"/>
          </w:tblCellMar>
        </w:tblPrEx>
        <w:trPr>
          <w:trHeight w:val="426"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行政事业性收费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3146" w:type="dxa"/>
            <w:gridSpan w:val="2"/>
            <w:tcBorders>
              <w:top w:val="nil"/>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r>
      <w:tr>
        <w:tblPrEx>
          <w:tblCellMar>
            <w:top w:w="0" w:type="dxa"/>
            <w:left w:w="0" w:type="dxa"/>
            <w:bottom w:w="0" w:type="dxa"/>
            <w:right w:w="0" w:type="dxa"/>
          </w:tblCellMar>
        </w:tblPrEx>
        <w:trPr>
          <w:trHeight w:val="422" w:hRule="exact"/>
          <w:jc w:val="center"/>
        </w:trPr>
        <w:tc>
          <w:tcPr>
            <w:tcW w:w="8140" w:type="dxa"/>
            <w:gridSpan w:val="5"/>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第二十条第（九）项</w:t>
            </w:r>
          </w:p>
        </w:tc>
      </w:tr>
      <w:tr>
        <w:tblPrEx>
          <w:tblCellMar>
            <w:top w:w="0" w:type="dxa"/>
            <w:left w:w="0" w:type="dxa"/>
            <w:bottom w:w="0" w:type="dxa"/>
            <w:right w:w="0" w:type="dxa"/>
          </w:tblCellMar>
        </w:tblPrEx>
        <w:trPr>
          <w:trHeight w:val="530"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信息内容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采购项目数量</w:t>
            </w:r>
          </w:p>
        </w:tc>
        <w:tc>
          <w:tcPr>
            <w:tcW w:w="3146" w:type="dxa"/>
            <w:gridSpan w:val="2"/>
            <w:tcBorders>
              <w:top w:val="single" w:color="auto" w:sz="8" w:space="0"/>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采购总金额</w:t>
            </w:r>
          </w:p>
        </w:tc>
      </w:tr>
      <w:tr>
        <w:tblPrEx>
          <w:tblCellMar>
            <w:top w:w="0" w:type="dxa"/>
            <w:left w:w="0" w:type="dxa"/>
            <w:bottom w:w="0" w:type="dxa"/>
            <w:right w:w="0" w:type="dxa"/>
          </w:tblCellMar>
        </w:tblPrEx>
        <w:trPr>
          <w:trHeight w:val="454"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政府集中采购</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3146" w:type="dxa"/>
            <w:gridSpan w:val="2"/>
            <w:tcBorders>
              <w:top w:val="nil"/>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rPr>
              <w:t>128.86</w:t>
            </w:r>
            <w:r>
              <w:rPr>
                <w:rFonts w:hint="eastAsia" w:ascii="仿宋_GB2312" w:hAnsi="仿宋_GB2312" w:eastAsia="仿宋_GB2312" w:cs="仿宋_GB2312"/>
                <w:color w:val="000000"/>
                <w:szCs w:val="21"/>
                <w:lang w:val="en-US" w:eastAsia="zh-CN"/>
              </w:rPr>
              <w:t>万元</w:t>
            </w:r>
          </w:p>
        </w:tc>
      </w:tr>
    </w:tbl>
    <w:p>
      <w:pPr>
        <w:pStyle w:val="4"/>
        <w:spacing w:before="0" w:beforeAutospacing="0" w:after="0" w:afterAutospacing="0" w:line="600" w:lineRule="exact"/>
        <w:ind w:firstLine="420"/>
        <w:jc w:val="both"/>
        <w:rPr>
          <w:rFonts w:ascii="黑体" w:hAnsi="黑体" w:eastAsia="黑体" w:cs="黑体"/>
          <w:bCs/>
          <w:color w:val="000000"/>
          <w:sz w:val="32"/>
          <w:szCs w:val="32"/>
        </w:rPr>
      </w:pPr>
      <w:r>
        <w:rPr>
          <w:rFonts w:hint="eastAsia" w:ascii="黑体" w:hAnsi="黑体" w:eastAsia="黑体" w:cs="黑体"/>
          <w:bCs/>
          <w:color w:val="000000"/>
          <w:sz w:val="32"/>
          <w:szCs w:val="32"/>
        </w:rPr>
        <w:t>三、收到和处理政府信息公开申请情况</w:t>
      </w:r>
    </w:p>
    <w:tbl>
      <w:tblPr>
        <w:tblStyle w:val="5"/>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214"/>
        <w:gridCol w:w="975"/>
        <w:gridCol w:w="1395"/>
        <w:gridCol w:w="855"/>
        <w:gridCol w:w="780"/>
        <w:gridCol w:w="765"/>
        <w:gridCol w:w="765"/>
        <w:gridCol w:w="840"/>
        <w:gridCol w:w="690"/>
        <w:gridCol w:w="7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2" w:hRule="atLeast"/>
          <w:tblHeader/>
          <w:jc w:val="center"/>
        </w:trPr>
        <w:tc>
          <w:tcPr>
            <w:tcW w:w="3584" w:type="dxa"/>
            <w:gridSpan w:val="3"/>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（本列数据的勾稽关系为：第一项加第二项之和，等于第三项加第四项之和）</w:t>
            </w:r>
          </w:p>
        </w:tc>
        <w:tc>
          <w:tcPr>
            <w:tcW w:w="5487" w:type="dxa"/>
            <w:gridSpan w:val="7"/>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2" w:hRule="atLeast"/>
          <w:tblHeader/>
          <w:jc w:val="center"/>
        </w:trPr>
        <w:tc>
          <w:tcPr>
            <w:tcW w:w="3584" w:type="dxa"/>
            <w:gridSpan w:val="3"/>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855"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自然人</w:t>
            </w:r>
          </w:p>
        </w:tc>
        <w:tc>
          <w:tcPr>
            <w:tcW w:w="3840" w:type="dxa"/>
            <w:gridSpan w:val="5"/>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法人或其他组织</w:t>
            </w:r>
          </w:p>
        </w:tc>
        <w:tc>
          <w:tcPr>
            <w:tcW w:w="792" w:type="dxa"/>
            <w:vMerge w:val="restart"/>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tblHeader/>
          <w:jc w:val="center"/>
        </w:trPr>
        <w:tc>
          <w:tcPr>
            <w:tcW w:w="3584" w:type="dxa"/>
            <w:gridSpan w:val="3"/>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855"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780"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商业企业</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科研机构</w:t>
            </w:r>
          </w:p>
        </w:tc>
        <w:tc>
          <w:tcPr>
            <w:tcW w:w="76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社会公益组织</w:t>
            </w:r>
          </w:p>
        </w:tc>
        <w:tc>
          <w:tcPr>
            <w:tcW w:w="840"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法律服务机构</w:t>
            </w:r>
          </w:p>
        </w:tc>
        <w:tc>
          <w:tcPr>
            <w:tcW w:w="690"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w:t>
            </w:r>
          </w:p>
        </w:tc>
        <w:tc>
          <w:tcPr>
            <w:tcW w:w="792"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3584" w:type="dxa"/>
            <w:gridSpan w:val="3"/>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一、本年新收政府信息公开申请数量</w:t>
            </w:r>
          </w:p>
        </w:tc>
        <w:tc>
          <w:tcPr>
            <w:tcW w:w="85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w:t>
            </w:r>
          </w:p>
        </w:tc>
        <w:tc>
          <w:tcPr>
            <w:tcW w:w="78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3584" w:type="dxa"/>
            <w:gridSpan w:val="3"/>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二、上年结转政府信息公开申请数量</w:t>
            </w:r>
          </w:p>
        </w:tc>
        <w:tc>
          <w:tcPr>
            <w:tcW w:w="85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121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三、本年度办理结果</w:t>
            </w:r>
          </w:p>
        </w:tc>
        <w:tc>
          <w:tcPr>
            <w:tcW w:w="2370"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（一）予以公开</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2370"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（二）部分公开（区分处理的，只计这一情形，不计其他情形）</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（三）不予公开</w:t>
            </w: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1.属于国家秘密</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2.其他法律行政法规禁止公开</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3.危及“三安全一稳定”</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4.保护第三方合法权益</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5.属于三类内部事务信息</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6.属于四类过程性信息</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7.属于行政执法案卷</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8.属于行政查询事项</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hAnsi="仿宋_GB2312" w:eastAsia="仿宋_GB2312" w:cs="仿宋_GB2312"/>
                <w:color w:val="000000"/>
                <w:szCs w:val="21"/>
              </w:rPr>
            </w:pPr>
          </w:p>
        </w:tc>
        <w:tc>
          <w:tcPr>
            <w:tcW w:w="975"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（四）无法提供</w:t>
            </w: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1.本机关不掌握相关政府信息</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2.没有现成信息需要另行制作</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3.补正后申请内容仍不明确</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975"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（五）不予处理</w:t>
            </w: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1.信访举报投诉类申请</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2.重复申请</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3.要求提供公开出版物</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13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4.无正当理由大量反复申请</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975"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139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5.要求行政机关确认或重新出具已获取信息</w:t>
            </w:r>
          </w:p>
        </w:tc>
        <w:tc>
          <w:tcPr>
            <w:tcW w:w="85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2370" w:type="dxa"/>
            <w:gridSpan w:val="2"/>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（六）其他处理</w:t>
            </w:r>
          </w:p>
        </w:tc>
        <w:tc>
          <w:tcPr>
            <w:tcW w:w="85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1214"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line="280" w:lineRule="exact"/>
              <w:rPr>
                <w:rFonts w:ascii="仿宋_GB2312" w:hAnsi="仿宋_GB2312" w:eastAsia="仿宋_GB2312" w:cs="仿宋_GB2312"/>
                <w:color w:val="000000"/>
                <w:szCs w:val="21"/>
              </w:rPr>
            </w:pPr>
          </w:p>
        </w:tc>
        <w:tc>
          <w:tcPr>
            <w:tcW w:w="2370" w:type="dxa"/>
            <w:gridSpan w:val="2"/>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（七）总计</w:t>
            </w:r>
          </w:p>
        </w:tc>
        <w:tc>
          <w:tcPr>
            <w:tcW w:w="85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w:t>
            </w:r>
          </w:p>
        </w:tc>
        <w:tc>
          <w:tcPr>
            <w:tcW w:w="78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584" w:type="dxa"/>
            <w:gridSpan w:val="3"/>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四、结转下年度继续办理</w:t>
            </w:r>
          </w:p>
        </w:tc>
        <w:tc>
          <w:tcPr>
            <w:tcW w:w="85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65"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4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690"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2" w:type="dxa"/>
            <w:tcBorders>
              <w:top w:val="nil"/>
              <w:left w:val="nil"/>
              <w:bottom w:val="single" w:color="auto" w:sz="8" w:space="0"/>
              <w:right w:val="single" w:color="auto" w:sz="8" w:space="0"/>
              <w:tl2br w:val="nil"/>
              <w:tr2bl w:val="nil"/>
            </w:tcBorders>
            <w:tcMar>
              <w:left w:w="108" w:type="dxa"/>
              <w:right w:w="108" w:type="dxa"/>
            </w:tcMar>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r>
    </w:tbl>
    <w:p>
      <w:pPr>
        <w:pStyle w:val="4"/>
        <w:spacing w:before="0" w:beforeAutospacing="0" w:after="0" w:afterAutospacing="0" w:line="600" w:lineRule="exact"/>
        <w:ind w:firstLine="420"/>
        <w:jc w:val="both"/>
        <w:rPr>
          <w:rFonts w:ascii="黑体" w:hAnsi="黑体" w:eastAsia="黑体" w:cs="黑体"/>
          <w:bCs/>
          <w:color w:val="000000"/>
          <w:sz w:val="32"/>
          <w:szCs w:val="32"/>
        </w:rPr>
      </w:pPr>
      <w:r>
        <w:rPr>
          <w:rFonts w:hint="eastAsia" w:ascii="黑体" w:hAnsi="黑体" w:eastAsia="黑体" w:cs="黑体"/>
          <w:bCs/>
          <w:color w:val="000000"/>
          <w:sz w:val="32"/>
          <w:szCs w:val="32"/>
        </w:rPr>
        <w:t>四、政府信息公开行政复议、行政诉讼情况</w:t>
      </w:r>
    </w:p>
    <w:tbl>
      <w:tblPr>
        <w:tblStyle w:val="5"/>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3" w:hRule="atLeast"/>
          <w:jc w:val="center"/>
        </w:trPr>
        <w:tc>
          <w:tcPr>
            <w:tcW w:w="3074" w:type="dxa"/>
            <w:gridSpan w:val="5"/>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行政复议</w:t>
            </w:r>
          </w:p>
        </w:tc>
        <w:tc>
          <w:tcPr>
            <w:tcW w:w="5997" w:type="dxa"/>
            <w:gridSpan w:val="10"/>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3" w:hRule="atLeast"/>
          <w:jc w:val="center"/>
        </w:trPr>
        <w:tc>
          <w:tcPr>
            <w:tcW w:w="604" w:type="dxa"/>
            <w:vMerge w:val="restart"/>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结果维持</w:t>
            </w:r>
          </w:p>
        </w:tc>
        <w:tc>
          <w:tcPr>
            <w:tcW w:w="604"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结果纠正</w:t>
            </w:r>
          </w:p>
        </w:tc>
        <w:tc>
          <w:tcPr>
            <w:tcW w:w="604" w:type="dxa"/>
            <w:vMerge w:val="restart"/>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其他结果</w:t>
            </w:r>
          </w:p>
        </w:tc>
        <w:tc>
          <w:tcPr>
            <w:tcW w:w="604" w:type="dxa"/>
            <w:vMerge w:val="restart"/>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尚未审结</w:t>
            </w:r>
          </w:p>
        </w:tc>
        <w:tc>
          <w:tcPr>
            <w:tcW w:w="658" w:type="dxa"/>
            <w:vMerge w:val="restart"/>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总计</w:t>
            </w:r>
          </w:p>
        </w:tc>
        <w:tc>
          <w:tcPr>
            <w:tcW w:w="2970" w:type="dxa"/>
            <w:gridSpan w:val="5"/>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未经复议直接起诉</w:t>
            </w:r>
          </w:p>
        </w:tc>
        <w:tc>
          <w:tcPr>
            <w:tcW w:w="3027" w:type="dxa"/>
            <w:gridSpan w:val="5"/>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4" w:type="dxa"/>
            <w:vMerge w:val="continue"/>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color w:val="000000"/>
                <w:sz w:val="28"/>
                <w:szCs w:val="28"/>
              </w:rPr>
            </w:pPr>
          </w:p>
        </w:tc>
        <w:tc>
          <w:tcPr>
            <w:tcW w:w="604" w:type="dxa"/>
            <w:vMerge w:val="continue"/>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color w:val="000000"/>
                <w:sz w:val="28"/>
                <w:szCs w:val="28"/>
              </w:rPr>
            </w:pPr>
          </w:p>
        </w:tc>
        <w:tc>
          <w:tcPr>
            <w:tcW w:w="604"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color w:val="000000"/>
                <w:sz w:val="28"/>
                <w:szCs w:val="28"/>
              </w:rPr>
            </w:pPr>
          </w:p>
        </w:tc>
        <w:tc>
          <w:tcPr>
            <w:tcW w:w="604"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color w:val="000000"/>
                <w:sz w:val="28"/>
                <w:szCs w:val="28"/>
              </w:rPr>
            </w:pPr>
          </w:p>
        </w:tc>
        <w:tc>
          <w:tcPr>
            <w:tcW w:w="658"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color w:val="000000"/>
                <w:sz w:val="28"/>
                <w:szCs w:val="28"/>
              </w:rPr>
            </w:pPr>
          </w:p>
        </w:tc>
        <w:tc>
          <w:tcPr>
            <w:tcW w:w="550"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结果维持</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结果纠正</w:t>
            </w:r>
          </w:p>
        </w:tc>
        <w:tc>
          <w:tcPr>
            <w:tcW w:w="60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其他结果</w:t>
            </w:r>
          </w:p>
        </w:tc>
        <w:tc>
          <w:tcPr>
            <w:tcW w:w="60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尚未审结</w:t>
            </w:r>
          </w:p>
        </w:tc>
        <w:tc>
          <w:tcPr>
            <w:tcW w:w="60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总计</w:t>
            </w:r>
          </w:p>
        </w:tc>
        <w:tc>
          <w:tcPr>
            <w:tcW w:w="60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结果维持</w:t>
            </w:r>
          </w:p>
        </w:tc>
        <w:tc>
          <w:tcPr>
            <w:tcW w:w="60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结果纠正</w:t>
            </w:r>
          </w:p>
        </w:tc>
        <w:tc>
          <w:tcPr>
            <w:tcW w:w="605"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其他结果</w:t>
            </w:r>
          </w:p>
        </w:tc>
        <w:tc>
          <w:tcPr>
            <w:tcW w:w="606"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尚未审结</w:t>
            </w:r>
          </w:p>
        </w:tc>
        <w:tc>
          <w:tcPr>
            <w:tcW w:w="606"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spacing w:after="18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jc w:val="center"/>
        </w:trPr>
        <w:tc>
          <w:tcPr>
            <w:tcW w:w="604"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4"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4"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4"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58"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550"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0</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5"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6"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606"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46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宋体" w:hAnsi="宋体"/>
          <w:color w:val="000000"/>
        </w:rPr>
      </w:pPr>
      <w:r>
        <w:rPr>
          <w:rFonts w:hint="eastAsia" w:ascii="黑体" w:hAnsi="黑体" w:eastAsia="黑体" w:cs="黑体"/>
          <w:bCs/>
          <w:color w:val="000000"/>
          <w:sz w:val="32"/>
          <w:szCs w:val="32"/>
        </w:rPr>
        <w:t>五、存在的主要问题及改进情况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我局政府信息公开工作顺利开展，在组织领导、工作机制和日常管理等方面均取得了一定的成效，但仍存在提升空间。一是主动公开政府信息内容仍有待进一步充实；二是信息公开范围、渠道仍有待进一步丰富。下一步，我局将继续加强政府信息公开相关工作，加强领导，健全制度，落实责任，不断提高信息公开的质量和水平：一是结合单位职能特点，针对服务对象，强化农业农村、水利、渔业信息主动公开，加强对已公开内容的跟踪更新，切实关注公开的效果、群众的满意度、意见和建议等情况，发现问题，及时纠正。二是加强对依申请公开内容的分析，抓好群众关注的热点问题，主动拓展政务信息公开范围和公开渠道，进一步提高政府工作透明度和群众获得感。三是加强信息公开栏目的日常维护，认真对照</w:t>
      </w:r>
      <w:r>
        <w:rPr>
          <w:rFonts w:hint="eastAsia" w:ascii="仿宋_GB2312" w:hAnsi="仿宋_GB2312" w:eastAsia="仿宋_GB2312" w:cs="仿宋_GB2312"/>
          <w:bCs/>
          <w:color w:val="000000"/>
          <w:sz w:val="32"/>
          <w:szCs w:val="32"/>
        </w:rPr>
        <w:t>《条例》和上级有关规定，做好政府信息发布、解读和回应工作，</w:t>
      </w:r>
      <w:r>
        <w:rPr>
          <w:rFonts w:hint="eastAsia" w:ascii="仿宋_GB2312" w:hAnsi="仿宋_GB2312" w:eastAsia="仿宋_GB2312" w:cs="仿宋_GB2312"/>
          <w:color w:val="000000"/>
          <w:sz w:val="32"/>
          <w:szCs w:val="32"/>
        </w:rPr>
        <w:t>进一步提高信息公开实效，保障人民群众知情权、参与权、表达权和监督权。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六、其他需要报告的事项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24" w:firstLineChars="200"/>
        <w:jc w:val="both"/>
        <w:textAlignment w:val="auto"/>
        <w:rPr>
          <w:rFonts w:ascii="仿宋_GB2312" w:eastAsia="仿宋_GB2312"/>
          <w:snapToGrid w:val="0"/>
          <w:spacing w:val="-4"/>
          <w:sz w:val="32"/>
          <w:szCs w:val="32"/>
        </w:rPr>
      </w:pPr>
      <w:r>
        <w:rPr>
          <w:rFonts w:hint="eastAsia" w:ascii="仿宋_GB2312" w:eastAsia="仿宋_GB2312"/>
          <w:snapToGrid w:val="0"/>
          <w:spacing w:val="-4"/>
          <w:sz w:val="32"/>
          <w:szCs w:val="32"/>
        </w:rPr>
        <w:t>本年度无其他需要报告的事项。</w:t>
      </w:r>
    </w:p>
    <w:p>
      <w:pPr>
        <w:pStyle w:val="4"/>
        <w:spacing w:before="0" w:beforeAutospacing="0" w:after="0" w:afterAutospacing="0" w:line="600" w:lineRule="exact"/>
        <w:ind w:firstLine="420"/>
        <w:jc w:val="both"/>
        <w:rPr>
          <w:rFonts w:ascii="仿宋_GB2312" w:hAnsi="仿宋_GB2312" w:eastAsia="仿宋_GB2312" w:cs="仿宋_GB2312"/>
          <w:color w:val="000000"/>
          <w:sz w:val="32"/>
          <w:szCs w:val="32"/>
        </w:rPr>
      </w:pPr>
    </w:p>
    <w:p>
      <w:pPr>
        <w:pStyle w:val="4"/>
        <w:spacing w:before="0" w:beforeAutospacing="0" w:after="0" w:afterAutospacing="0" w:line="600" w:lineRule="exact"/>
        <w:ind w:firstLine="420"/>
        <w:jc w:val="both"/>
        <w:rPr>
          <w:rFonts w:ascii="仿宋_GB2312" w:hAnsi="仿宋_GB2312" w:eastAsia="仿宋_GB2312" w:cs="仿宋_GB2312"/>
          <w:color w:val="000000"/>
          <w:sz w:val="32"/>
          <w:szCs w:val="32"/>
        </w:rPr>
      </w:pPr>
    </w:p>
    <w:p>
      <w:pPr>
        <w:pStyle w:val="4"/>
        <w:spacing w:before="0" w:beforeAutospacing="0" w:after="0" w:afterAutospacing="0" w:line="600" w:lineRule="exact"/>
        <w:ind w:firstLine="420"/>
        <w:jc w:val="both"/>
        <w:rPr>
          <w:rFonts w:ascii="仿宋_GB2312" w:hAnsi="仿宋_GB2312" w:eastAsia="仿宋_GB2312" w:cs="仿宋_GB2312"/>
          <w:color w:val="000000"/>
          <w:sz w:val="32"/>
          <w:szCs w:val="32"/>
        </w:rPr>
      </w:pPr>
    </w:p>
    <w:p>
      <w:pPr>
        <w:spacing w:line="480" w:lineRule="atLeast"/>
        <w:jc w:val="right"/>
        <w:rPr>
          <w:rFonts w:ascii="仿宋_GB2312" w:eastAsia="仿宋_GB2312"/>
          <w:snapToGrid w:val="0"/>
          <w:spacing w:val="-4"/>
          <w:kern w:val="0"/>
          <w:sz w:val="32"/>
          <w:szCs w:val="32"/>
        </w:rPr>
      </w:pPr>
      <w:r>
        <w:rPr>
          <w:rFonts w:hint="eastAsia" w:ascii="仿宋_GB2312" w:eastAsia="仿宋_GB2312"/>
          <w:snapToGrid w:val="0"/>
          <w:spacing w:val="-4"/>
          <w:kern w:val="0"/>
          <w:sz w:val="32"/>
          <w:szCs w:val="32"/>
        </w:rPr>
        <w:t>宁波市</w:t>
      </w:r>
      <w:r>
        <w:rPr>
          <w:rFonts w:ascii="仿宋_GB2312" w:eastAsia="仿宋_GB2312"/>
          <w:snapToGrid w:val="0"/>
          <w:spacing w:val="-4"/>
          <w:kern w:val="0"/>
          <w:sz w:val="32"/>
          <w:szCs w:val="32"/>
        </w:rPr>
        <w:t>北仑区农业农村局</w:t>
      </w:r>
    </w:p>
    <w:p>
      <w:pPr>
        <w:spacing w:line="480" w:lineRule="atLeast"/>
        <w:jc w:val="right"/>
        <w:rPr>
          <w:rFonts w:ascii="仿宋_GB2312" w:eastAsia="仿宋_GB2312"/>
          <w:snapToGrid w:val="0"/>
          <w:spacing w:val="-4"/>
          <w:kern w:val="0"/>
          <w:sz w:val="32"/>
          <w:szCs w:val="32"/>
        </w:rPr>
      </w:pPr>
      <w:r>
        <w:rPr>
          <w:rFonts w:ascii="仿宋_GB2312" w:eastAsia="仿宋_GB2312"/>
          <w:snapToGrid w:val="0"/>
          <w:spacing w:val="-4"/>
          <w:kern w:val="0"/>
          <w:sz w:val="32"/>
          <w:szCs w:val="32"/>
        </w:rPr>
        <w:t>202</w:t>
      </w:r>
      <w:r>
        <w:rPr>
          <w:rFonts w:hint="eastAsia" w:ascii="仿宋_GB2312" w:eastAsia="仿宋_GB2312"/>
          <w:snapToGrid w:val="0"/>
          <w:spacing w:val="-4"/>
          <w:kern w:val="0"/>
          <w:sz w:val="32"/>
          <w:szCs w:val="32"/>
        </w:rPr>
        <w:t>1</w:t>
      </w:r>
      <w:r>
        <w:rPr>
          <w:rFonts w:ascii="仿宋_GB2312" w:eastAsia="仿宋_GB2312"/>
          <w:snapToGrid w:val="0"/>
          <w:spacing w:val="-4"/>
          <w:kern w:val="0"/>
          <w:sz w:val="32"/>
          <w:szCs w:val="32"/>
        </w:rPr>
        <w:t>年1月</w:t>
      </w:r>
      <w:r>
        <w:rPr>
          <w:rFonts w:hint="eastAsia" w:ascii="仿宋_GB2312" w:eastAsia="仿宋_GB2312"/>
          <w:snapToGrid w:val="0"/>
          <w:spacing w:val="-4"/>
          <w:kern w:val="0"/>
          <w:sz w:val="32"/>
          <w:szCs w:val="32"/>
          <w:lang w:val="en-US" w:eastAsia="zh-CN"/>
        </w:rPr>
        <w:t>19</w:t>
      </w:r>
      <w:r>
        <w:rPr>
          <w:rFonts w:ascii="仿宋_GB2312" w:eastAsia="仿宋_GB2312"/>
          <w:snapToGrid w:val="0"/>
          <w:spacing w:val="-4"/>
          <w:kern w:val="0"/>
          <w:sz w:val="32"/>
          <w:szCs w:val="32"/>
        </w:rPr>
        <w:t>日</w:t>
      </w:r>
    </w:p>
    <w:sectPr>
      <w:footerReference r:id="rId3" w:type="default"/>
      <w:pgSz w:w="11906" w:h="16838"/>
      <w:pgMar w:top="1871" w:right="1531" w:bottom="1531" w:left="1531" w:header="851" w:footer="1417" w:gutter="0"/>
      <w:pgBorders>
        <w:top w:val="none" w:sz="0" w:space="0"/>
        <w:left w:val="none" w:sz="0" w:space="0"/>
        <w:bottom w:val="none" w:sz="0" w:space="0"/>
        <w:right w:val="none" w:sz="0" w:space="0"/>
      </w:pgBorders>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D9586"/>
    <w:multiLevelType w:val="singleLevel"/>
    <w:tmpl w:val="B3AD95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72B92"/>
    <w:rsid w:val="00071269"/>
    <w:rsid w:val="000851EA"/>
    <w:rsid w:val="001A7E29"/>
    <w:rsid w:val="002B17DB"/>
    <w:rsid w:val="002D5120"/>
    <w:rsid w:val="003C23BE"/>
    <w:rsid w:val="004556BA"/>
    <w:rsid w:val="00456924"/>
    <w:rsid w:val="00486331"/>
    <w:rsid w:val="00592C0E"/>
    <w:rsid w:val="00765E3F"/>
    <w:rsid w:val="00816108"/>
    <w:rsid w:val="009500C1"/>
    <w:rsid w:val="00950749"/>
    <w:rsid w:val="009D60F0"/>
    <w:rsid w:val="00AB5BC3"/>
    <w:rsid w:val="00AD5171"/>
    <w:rsid w:val="00B9008D"/>
    <w:rsid w:val="00BB0FF0"/>
    <w:rsid w:val="00C44107"/>
    <w:rsid w:val="00C536C9"/>
    <w:rsid w:val="00CA3E48"/>
    <w:rsid w:val="00CE40C5"/>
    <w:rsid w:val="00D1541F"/>
    <w:rsid w:val="00FA6041"/>
    <w:rsid w:val="19A23335"/>
    <w:rsid w:val="19C04737"/>
    <w:rsid w:val="2A7C6ABA"/>
    <w:rsid w:val="2AC72B92"/>
    <w:rsid w:val="2D2A4E53"/>
    <w:rsid w:val="30BE3479"/>
    <w:rsid w:val="369A65B4"/>
    <w:rsid w:val="386B019D"/>
    <w:rsid w:val="3C9D3C18"/>
    <w:rsid w:val="427440F7"/>
    <w:rsid w:val="445310BD"/>
    <w:rsid w:val="44EC5EDC"/>
    <w:rsid w:val="54EA4D5F"/>
    <w:rsid w:val="58376F78"/>
    <w:rsid w:val="5C0633D8"/>
    <w:rsid w:val="70B23FEE"/>
    <w:rsid w:val="799B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385</Words>
  <Characters>2195</Characters>
  <Lines>18</Lines>
  <Paragraphs>5</Paragraphs>
  <TotalTime>2</TotalTime>
  <ScaleCrop>false</ScaleCrop>
  <LinksUpToDate>false</LinksUpToDate>
  <CharactersWithSpaces>2575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2021-01-07T07:28:00Z</dcterms:created>
  <dc:creator>2017030222</dc:creator>
  <cp:lastModifiedBy>admin</cp:lastModifiedBy>
  <dcterms:modified xsi:type="dcterms:W3CDTF">2021-03-31T11:31:22Z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