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hd w:val="clear" w:color="auto" w:fill="FFFFFF"/>
        <w:tabs>
          <w:tab w:val="left" w:pos="1792"/>
          <w:tab w:val="left" w:pos="7560"/>
        </w:tabs>
        <w:kinsoku/>
        <w:wordWrap w:val="0"/>
        <w:overflowPunct/>
        <w:topLinePunct w:val="0"/>
        <w:autoSpaceDE/>
        <w:autoSpaceDN/>
        <w:bidi w:val="0"/>
        <w:adjustRightInd w:val="0"/>
        <w:snapToGrid w:val="0"/>
        <w:spacing w:before="0" w:beforeAutospacing="0" w:after="0" w:afterAutospacing="0" w:line="560" w:lineRule="atLeast"/>
        <w:jc w:val="both"/>
        <w:textAlignment w:val="auto"/>
        <w:rPr>
          <w:rFonts w:hint="default" w:ascii="Times New Roman" w:hAnsi="Times New Roman" w:eastAsia="黑体" w:cs="Times New Roman"/>
          <w:snapToGrid w:val="0"/>
          <w:spacing w:val="-4"/>
          <w:kern w:val="21"/>
          <w:sz w:val="32"/>
          <w:szCs w:val="32"/>
          <w:shd w:val="clear" w:color="auto" w:fill="FFFFFF"/>
          <w:lang w:val="en-US" w:eastAsia="zh-CN" w:bidi="ar"/>
        </w:rPr>
      </w:pPr>
      <w:r>
        <w:rPr>
          <w:rFonts w:hint="default" w:ascii="Times New Roman" w:hAnsi="Times New Roman" w:eastAsia="黑体" w:cs="Times New Roman"/>
          <w:snapToGrid w:val="0"/>
          <w:spacing w:val="-4"/>
          <w:kern w:val="21"/>
          <w:sz w:val="32"/>
          <w:szCs w:val="32"/>
          <w:shd w:val="clear" w:color="auto" w:fill="FFFFFF"/>
          <w:lang w:val="en-US" w:eastAsia="zh-CN" w:bidi="ar"/>
        </w:rPr>
        <w:t>附件</w:t>
      </w:r>
      <w:r>
        <w:rPr>
          <w:rFonts w:hint="eastAsia" w:ascii="Times New Roman" w:hAnsi="Times New Roman" w:eastAsia="黑体" w:cs="Times New Roman"/>
          <w:snapToGrid w:val="0"/>
          <w:spacing w:val="-4"/>
          <w:kern w:val="21"/>
          <w:sz w:val="32"/>
          <w:szCs w:val="32"/>
          <w:shd w:val="clear" w:color="auto" w:fill="FFFFFF"/>
          <w:lang w:val="en-US" w:eastAsia="zh-CN" w:bidi="ar"/>
        </w:rPr>
        <w:t>2</w:t>
      </w:r>
    </w:p>
    <w:p>
      <w:pPr>
        <w:keepNext w:val="0"/>
        <w:keepLines w:val="0"/>
        <w:pageBreakBefore w:val="0"/>
        <w:widowControl/>
        <w:kinsoku/>
        <w:wordWrap/>
        <w:overflowPunct/>
        <w:topLinePunct w:val="0"/>
        <w:autoSpaceDE/>
        <w:autoSpaceDN/>
        <w:bidi w:val="0"/>
        <w:adjustRightInd w:val="0"/>
        <w:snapToGrid w:val="0"/>
        <w:spacing w:line="580" w:lineRule="atLeast"/>
        <w:ind w:firstLine="0" w:firstLineChars="0"/>
        <w:jc w:val="both"/>
        <w:textAlignment w:val="auto"/>
        <w:rPr>
          <w:rFonts w:hint="default" w:ascii="Times New Roman" w:hAnsi="Times New Roman" w:eastAsia="黑体" w:cs="Times New Roman"/>
          <w:snapToGrid w:val="0"/>
          <w:spacing w:val="-4"/>
          <w:kern w:val="21"/>
          <w:sz w:val="32"/>
          <w:szCs w:val="32"/>
          <w:shd w:val="clear" w:color="auto" w:fill="FFFFFF"/>
          <w:lang w:val="en-US" w:eastAsia="zh-CN" w:bidi="ar"/>
        </w:rPr>
      </w:pPr>
    </w:p>
    <w:p>
      <w:pPr>
        <w:pStyle w:val="6"/>
        <w:keepNext w:val="0"/>
        <w:keepLines w:val="0"/>
        <w:pageBreakBefore w:val="0"/>
        <w:kinsoku/>
        <w:overflowPunct/>
        <w:topLinePunct w:val="0"/>
        <w:autoSpaceDE/>
        <w:autoSpaceDN/>
        <w:bidi w:val="0"/>
        <w:adjustRightInd w:val="0"/>
        <w:snapToGrid w:val="0"/>
        <w:spacing w:line="580" w:lineRule="atLeast"/>
        <w:ind w:firstLine="0" w:firstLineChars="0"/>
        <w:jc w:val="center"/>
        <w:rPr>
          <w:rFonts w:hint="default" w:ascii="Times New Roman" w:hAnsi="Times New Roman" w:eastAsia="创艺简标宋" w:cs="Times New Roman"/>
          <w:snapToGrid w:val="0"/>
          <w:spacing w:val="-4"/>
          <w:kern w:val="21"/>
          <w:sz w:val="44"/>
          <w:szCs w:val="44"/>
          <w:shd w:val="clear" w:color="auto" w:fill="FFFFFF"/>
          <w:lang w:bidi="ar"/>
        </w:rPr>
      </w:pPr>
      <w:r>
        <w:rPr>
          <w:rFonts w:hint="default" w:ascii="Times New Roman" w:hAnsi="Times New Roman" w:eastAsia="创艺简标宋" w:cs="Times New Roman"/>
          <w:snapToGrid w:val="0"/>
          <w:spacing w:val="-4"/>
          <w:kern w:val="21"/>
          <w:sz w:val="44"/>
          <w:szCs w:val="44"/>
          <w:shd w:val="clear" w:color="auto" w:fill="FFFFFF"/>
          <w:lang w:bidi="ar"/>
        </w:rPr>
        <w:t>宁波市</w:t>
      </w:r>
      <w:r>
        <w:rPr>
          <w:rFonts w:hint="eastAsia" w:eastAsia="创艺简标宋" w:cs="Times New Roman"/>
          <w:snapToGrid w:val="0"/>
          <w:spacing w:val="-4"/>
          <w:kern w:val="21"/>
          <w:sz w:val="44"/>
          <w:szCs w:val="44"/>
          <w:shd w:val="clear" w:color="auto" w:fill="FFFFFF"/>
          <w:lang w:eastAsia="zh-CN" w:bidi="ar"/>
        </w:rPr>
        <w:t>北仑</w:t>
      </w:r>
      <w:bookmarkStart w:id="0" w:name="_GoBack"/>
      <w:bookmarkEnd w:id="0"/>
      <w:r>
        <w:rPr>
          <w:rFonts w:hint="eastAsia" w:eastAsia="创艺简标宋" w:cs="Times New Roman"/>
          <w:snapToGrid w:val="0"/>
          <w:spacing w:val="-4"/>
          <w:kern w:val="21"/>
          <w:sz w:val="44"/>
          <w:szCs w:val="44"/>
          <w:shd w:val="clear" w:color="auto" w:fill="FFFFFF"/>
          <w:lang w:eastAsia="zh-CN" w:bidi="ar"/>
        </w:rPr>
        <w:t>区</w:t>
      </w:r>
      <w:r>
        <w:rPr>
          <w:rFonts w:hint="default" w:ascii="Times New Roman" w:hAnsi="Times New Roman" w:eastAsia="创艺简标宋" w:cs="Times New Roman"/>
          <w:snapToGrid w:val="0"/>
          <w:spacing w:val="-4"/>
          <w:kern w:val="21"/>
          <w:sz w:val="44"/>
          <w:szCs w:val="44"/>
          <w:shd w:val="clear" w:color="auto" w:fill="FFFFFF"/>
          <w:lang w:bidi="ar"/>
        </w:rPr>
        <w:t>综合行政执法</w:t>
      </w:r>
      <w:r>
        <w:rPr>
          <w:rFonts w:hint="eastAsia" w:eastAsia="创艺简标宋" w:cs="Times New Roman"/>
          <w:snapToGrid w:val="0"/>
          <w:spacing w:val="-4"/>
          <w:kern w:val="21"/>
          <w:sz w:val="44"/>
          <w:szCs w:val="44"/>
          <w:shd w:val="clear" w:color="auto" w:fill="FFFFFF"/>
          <w:lang w:eastAsia="zh-CN" w:bidi="ar"/>
        </w:rPr>
        <w:t>行政处罚</w:t>
      </w:r>
      <w:r>
        <w:rPr>
          <w:rFonts w:hint="default" w:ascii="Times New Roman" w:hAnsi="Times New Roman" w:eastAsia="创艺简标宋" w:cs="Times New Roman"/>
          <w:snapToGrid w:val="0"/>
          <w:spacing w:val="-4"/>
          <w:kern w:val="21"/>
          <w:sz w:val="44"/>
          <w:szCs w:val="44"/>
          <w:shd w:val="clear" w:color="auto" w:fill="FFFFFF"/>
          <w:lang w:bidi="ar"/>
        </w:rPr>
        <w:t>事项</w:t>
      </w:r>
    </w:p>
    <w:p>
      <w:pPr>
        <w:pStyle w:val="6"/>
        <w:keepNext w:val="0"/>
        <w:keepLines w:val="0"/>
        <w:pageBreakBefore w:val="0"/>
        <w:kinsoku/>
        <w:overflowPunct/>
        <w:topLinePunct w:val="0"/>
        <w:autoSpaceDE/>
        <w:autoSpaceDN/>
        <w:bidi w:val="0"/>
        <w:adjustRightInd w:val="0"/>
        <w:snapToGrid w:val="0"/>
        <w:spacing w:line="580" w:lineRule="atLeast"/>
        <w:ind w:firstLine="0" w:firstLineChars="0"/>
        <w:jc w:val="center"/>
        <w:rPr>
          <w:rFonts w:hint="default" w:ascii="Times New Roman" w:hAnsi="Times New Roman" w:eastAsia="创艺简标宋" w:cs="Times New Roman"/>
          <w:snapToGrid w:val="0"/>
          <w:spacing w:val="-4"/>
          <w:kern w:val="21"/>
          <w:sz w:val="44"/>
          <w:szCs w:val="44"/>
        </w:rPr>
      </w:pPr>
      <w:r>
        <w:rPr>
          <w:rFonts w:hint="default" w:ascii="Times New Roman" w:hAnsi="Times New Roman" w:eastAsia="创艺简标宋" w:cs="Times New Roman"/>
          <w:snapToGrid w:val="0"/>
          <w:spacing w:val="-4"/>
          <w:kern w:val="21"/>
          <w:sz w:val="44"/>
          <w:szCs w:val="44"/>
          <w:shd w:val="clear" w:color="auto" w:fill="FFFFFF"/>
          <w:lang w:bidi="ar"/>
        </w:rPr>
        <w:t>（招投标</w:t>
      </w:r>
      <w:r>
        <w:rPr>
          <w:rFonts w:hint="eastAsia" w:eastAsia="创艺简标宋" w:cs="Times New Roman"/>
          <w:snapToGrid w:val="0"/>
          <w:spacing w:val="-4"/>
          <w:kern w:val="21"/>
          <w:sz w:val="44"/>
          <w:szCs w:val="44"/>
          <w:shd w:val="clear" w:color="auto" w:fill="FFFFFF"/>
          <w:lang w:eastAsia="zh-CN" w:bidi="ar"/>
        </w:rPr>
        <w:t>领域</w:t>
      </w:r>
      <w:r>
        <w:rPr>
          <w:rFonts w:hint="default" w:ascii="Times New Roman" w:hAnsi="Times New Roman" w:eastAsia="创艺简标宋" w:cs="Times New Roman"/>
          <w:snapToGrid w:val="0"/>
          <w:spacing w:val="-4"/>
          <w:kern w:val="21"/>
          <w:sz w:val="44"/>
          <w:szCs w:val="44"/>
          <w:shd w:val="clear" w:color="auto" w:fill="FFFFFF"/>
          <w:lang w:bidi="ar"/>
        </w:rPr>
        <w:t>）调整目录</w:t>
      </w:r>
    </w:p>
    <w:p>
      <w:pPr>
        <w:pStyle w:val="6"/>
        <w:keepNext w:val="0"/>
        <w:keepLines w:val="0"/>
        <w:pageBreakBefore w:val="0"/>
        <w:kinsoku/>
        <w:overflowPunct/>
        <w:topLinePunct w:val="0"/>
        <w:autoSpaceDE/>
        <w:autoSpaceDN/>
        <w:bidi w:val="0"/>
        <w:adjustRightInd w:val="0"/>
        <w:snapToGrid w:val="0"/>
        <w:spacing w:line="580" w:lineRule="atLeast"/>
        <w:ind w:firstLine="0" w:firstLineChars="0"/>
        <w:jc w:val="center"/>
        <w:rPr>
          <w:rFonts w:hint="eastAsia" w:ascii="楷体_GB2312" w:hAnsi="楷体_GB2312" w:eastAsia="楷体_GB2312" w:cs="楷体_GB2312"/>
          <w:snapToGrid w:val="0"/>
          <w:spacing w:val="-4"/>
          <w:kern w:val="21"/>
          <w:szCs w:val="32"/>
        </w:rPr>
      </w:pPr>
      <w:r>
        <w:rPr>
          <w:rFonts w:hint="eastAsia" w:ascii="楷体_GB2312" w:hAnsi="楷体_GB2312" w:eastAsia="楷体_GB2312" w:cs="楷体_GB2312"/>
          <w:snapToGrid w:val="0"/>
          <w:spacing w:val="-4"/>
          <w:kern w:val="21"/>
          <w:szCs w:val="32"/>
        </w:rPr>
        <w:t>（58项）</w:t>
      </w:r>
    </w:p>
    <w:p>
      <w:pPr>
        <w:pStyle w:val="6"/>
        <w:keepNext w:val="0"/>
        <w:keepLines w:val="0"/>
        <w:pageBreakBefore w:val="0"/>
        <w:kinsoku/>
        <w:overflowPunct/>
        <w:topLinePunct w:val="0"/>
        <w:autoSpaceDE/>
        <w:autoSpaceDN/>
        <w:bidi w:val="0"/>
        <w:adjustRightInd w:val="0"/>
        <w:snapToGrid w:val="0"/>
        <w:spacing w:line="580" w:lineRule="atLeast"/>
        <w:ind w:firstLine="0" w:firstLineChars="0"/>
        <w:jc w:val="center"/>
        <w:rPr>
          <w:rFonts w:hint="eastAsia" w:ascii="楷体_GB2312" w:hAnsi="楷体_GB2312" w:eastAsia="楷体_GB2312" w:cs="楷体_GB2312"/>
          <w:snapToGrid w:val="0"/>
          <w:spacing w:val="-4"/>
          <w:kern w:val="21"/>
          <w:szCs w:val="32"/>
        </w:rPr>
      </w:pPr>
    </w:p>
    <w:tbl>
      <w:tblPr>
        <w:tblStyle w:val="4"/>
        <w:tblW w:w="9800" w:type="dxa"/>
        <w:jc w:val="center"/>
        <w:tblLayout w:type="fixed"/>
        <w:tblCellMar>
          <w:top w:w="0" w:type="dxa"/>
          <w:left w:w="108" w:type="dxa"/>
          <w:bottom w:w="0" w:type="dxa"/>
          <w:right w:w="108" w:type="dxa"/>
        </w:tblCellMar>
      </w:tblPr>
      <w:tblGrid>
        <w:gridCol w:w="728"/>
        <w:gridCol w:w="1811"/>
        <w:gridCol w:w="4426"/>
        <w:gridCol w:w="1417"/>
        <w:gridCol w:w="1418"/>
      </w:tblGrid>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bCs/>
                <w:snapToGrid w:val="0"/>
                <w:color w:val="000000"/>
                <w:spacing w:val="-4"/>
                <w:kern w:val="21"/>
                <w:sz w:val="24"/>
                <w:lang w:bidi="ar"/>
              </w:rPr>
            </w:pPr>
            <w:r>
              <w:rPr>
                <w:rFonts w:hint="eastAsia" w:ascii="仿宋_GB2312" w:hAnsi="仿宋_GB2312" w:eastAsia="仿宋_GB2312" w:cs="仿宋_GB2312"/>
                <w:bCs/>
                <w:snapToGrid w:val="0"/>
                <w:color w:val="000000"/>
                <w:spacing w:val="-4"/>
                <w:kern w:val="21"/>
                <w:sz w:val="24"/>
                <w:lang w:bidi="ar"/>
              </w:rPr>
              <w:t>序号</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bCs/>
                <w:snapToGrid w:val="0"/>
                <w:color w:val="000000"/>
                <w:spacing w:val="-4"/>
                <w:kern w:val="21"/>
                <w:sz w:val="24"/>
                <w:lang w:bidi="ar"/>
              </w:rPr>
            </w:pPr>
            <w:r>
              <w:rPr>
                <w:rFonts w:hint="eastAsia" w:ascii="仿宋_GB2312" w:hAnsi="仿宋_GB2312" w:eastAsia="仿宋_GB2312" w:cs="仿宋_GB2312"/>
                <w:bCs/>
                <w:snapToGrid w:val="0"/>
                <w:color w:val="000000"/>
                <w:spacing w:val="-4"/>
                <w:kern w:val="21"/>
                <w:sz w:val="24"/>
                <w:lang w:bidi="ar"/>
              </w:rPr>
              <w:t>事项代码</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bCs/>
                <w:snapToGrid w:val="0"/>
                <w:color w:val="000000"/>
                <w:spacing w:val="-4"/>
                <w:kern w:val="21"/>
                <w:sz w:val="24"/>
                <w:lang w:bidi="ar"/>
              </w:rPr>
            </w:pPr>
            <w:r>
              <w:rPr>
                <w:rFonts w:hint="eastAsia" w:ascii="仿宋_GB2312" w:hAnsi="仿宋_GB2312" w:eastAsia="仿宋_GB2312" w:cs="仿宋_GB2312"/>
                <w:bCs/>
                <w:snapToGrid w:val="0"/>
                <w:color w:val="000000"/>
                <w:spacing w:val="-4"/>
                <w:kern w:val="21"/>
                <w:sz w:val="24"/>
                <w:lang w:bidi="ar"/>
              </w:rPr>
              <w:t>事项名称</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bCs/>
                <w:snapToGrid w:val="0"/>
                <w:color w:val="000000"/>
                <w:spacing w:val="-4"/>
                <w:kern w:val="21"/>
                <w:sz w:val="24"/>
                <w:lang w:bidi="ar"/>
              </w:rPr>
            </w:pPr>
            <w:r>
              <w:rPr>
                <w:rFonts w:hint="eastAsia" w:ascii="仿宋_GB2312" w:hAnsi="仿宋_GB2312" w:eastAsia="仿宋_GB2312" w:cs="仿宋_GB2312"/>
                <w:bCs/>
                <w:snapToGrid w:val="0"/>
                <w:color w:val="000000"/>
                <w:spacing w:val="-4"/>
                <w:kern w:val="21"/>
                <w:sz w:val="24"/>
                <w:lang w:bidi="ar"/>
              </w:rPr>
              <w:t>划转范围</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bCs/>
                <w:snapToGrid w:val="0"/>
                <w:color w:val="000000"/>
                <w:spacing w:val="-4"/>
                <w:kern w:val="21"/>
                <w:sz w:val="24"/>
                <w:lang w:bidi="ar"/>
              </w:rPr>
            </w:pPr>
            <w:r>
              <w:rPr>
                <w:rFonts w:hint="eastAsia" w:ascii="仿宋_GB2312" w:hAnsi="仿宋_GB2312" w:eastAsia="仿宋_GB2312" w:cs="仿宋_GB2312"/>
                <w:bCs/>
                <w:snapToGrid w:val="0"/>
                <w:color w:val="000000"/>
                <w:spacing w:val="-4"/>
                <w:kern w:val="21"/>
                <w:sz w:val="24"/>
                <w:lang w:bidi="ar"/>
              </w:rPr>
              <w:t>业务条线名称（通用）</w:t>
            </w:r>
          </w:p>
        </w:tc>
      </w:tr>
      <w:tr>
        <w:tblPrEx>
          <w:tblCellMar>
            <w:top w:w="0" w:type="dxa"/>
            <w:left w:w="108" w:type="dxa"/>
            <w:bottom w:w="0" w:type="dxa"/>
            <w:right w:w="108" w:type="dxa"/>
          </w:tblCellMar>
        </w:tblPrEx>
        <w:trPr>
          <w:trHeight w:val="70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179</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330217082000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10"/>
                <w:kern w:val="21"/>
                <w:sz w:val="24"/>
                <w:lang w:bidi="ar"/>
              </w:rPr>
              <w:t>对建筑工程项目招标人违反规定将依法必须招标的项目与投标人进行谈判的行政处罚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180</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330217011000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对建筑工程项目招标人邀请招标未依法发出投标邀请书的行政处罚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63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181</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330217013000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对建筑工程项目招标人不按核准内容进行招标的行政处罚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32"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182</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330217109000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对建筑工程项目投标人数量不符合法定要求而不重新招标的行政处罚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198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183</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330217115000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依法应当公开招标的项目不按规定在指定媒介发布资格预审公告或招标公告，或在不同媒介发布的同一招标项目的资格预审公告或招标公告的内容不一致，影响潜在投标人申请资格预审或投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32"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184</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330217100000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对建筑工程项目招标人不具备自行招标条件而自行招标的行政处罚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56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185</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330217088000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对建筑工程项目招标公告或投标邀请书的内容不符合法定要求的行政处罚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586"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186</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330217081000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对非法干预评标委员会评标的行政处罚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1028"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187</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330217023000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对依法必须进行招标的建筑工程项目招标人不按规定组建评标委员会，或确定、更换评标委员会成员违反规定的行政处罚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138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188</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330217016000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8"/>
                <w:kern w:val="21"/>
                <w:sz w:val="24"/>
              </w:rPr>
            </w:pPr>
            <w:r>
              <w:rPr>
                <w:rFonts w:hint="eastAsia" w:ascii="仿宋_GB2312" w:hAnsi="仿宋_GB2312" w:eastAsia="仿宋_GB2312" w:cs="仿宋_GB2312"/>
                <w:snapToGrid w:val="0"/>
                <w:color w:val="000000"/>
                <w:spacing w:val="-8"/>
                <w:kern w:val="21"/>
                <w:sz w:val="24"/>
                <w:lang w:bidi="ar"/>
              </w:rPr>
              <w:t>对依法必须进行招标的建筑工程项目招标人向他人透露已获取招标文件的潜在投标人的名称、数量或可能影响公平竞争的有关招标投标其他情况，或泄露标底的行政处罚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189</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330217015000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对建筑工程项目招标人以不合理条件限制或排斥潜在投标人，对潜在投标人实行歧视待遇，强制要求投标人组成联合体共同投标，或限制投标人之间竞争的行政处罚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190</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val="en-US" w:eastAsia="zh-CN"/>
              </w:rPr>
            </w:pPr>
            <w:r>
              <w:rPr>
                <w:rFonts w:hint="eastAsia" w:ascii="仿宋_GB2312" w:hAnsi="仿宋_GB2312" w:eastAsia="仿宋_GB2312" w:cs="仿宋_GB2312"/>
                <w:snapToGrid w:val="0"/>
                <w:color w:val="000000"/>
                <w:spacing w:val="-4"/>
                <w:kern w:val="21"/>
                <w:sz w:val="24"/>
                <w:lang w:bidi="ar"/>
              </w:rPr>
              <w:t>330217A100</w:t>
            </w:r>
            <w:r>
              <w:rPr>
                <w:rFonts w:hint="eastAsia" w:ascii="仿宋_GB2312" w:hAnsi="仿宋_GB2312" w:eastAsia="仿宋_GB2312" w:cs="仿宋_GB2312"/>
                <w:snapToGrid w:val="0"/>
                <w:color w:val="000000"/>
                <w:spacing w:val="-4"/>
                <w:kern w:val="21"/>
                <w:sz w:val="24"/>
                <w:lang w:val="en-US" w:eastAsia="zh-CN" w:bidi="ar"/>
              </w:rPr>
              <w:t>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对依法必须进行招标的建筑工程项目招标人不招标，将必须进行招标的项目化整为零或以其他任何方式规避招标的行政处罚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65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191</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330217674000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对建筑工程项目依法应当公开招标而采用邀请招标的行政处罚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192</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val="en-US" w:eastAsia="zh-CN"/>
              </w:rPr>
            </w:pPr>
            <w:r>
              <w:rPr>
                <w:rFonts w:hint="eastAsia" w:ascii="仿宋_GB2312" w:hAnsi="仿宋_GB2312" w:eastAsia="仿宋_GB2312" w:cs="仿宋_GB2312"/>
                <w:snapToGrid w:val="0"/>
                <w:color w:val="000000"/>
                <w:spacing w:val="-4"/>
                <w:kern w:val="21"/>
                <w:sz w:val="24"/>
                <w:lang w:bidi="ar"/>
              </w:rPr>
              <w:t>330217A0700</w:t>
            </w:r>
            <w:r>
              <w:rPr>
                <w:rFonts w:hint="eastAsia" w:ascii="仿宋_GB2312" w:hAnsi="仿宋_GB2312" w:eastAsia="仿宋_GB2312" w:cs="仿宋_GB2312"/>
                <w:snapToGrid w:val="0"/>
                <w:color w:val="000000"/>
                <w:spacing w:val="-4"/>
                <w:kern w:val="21"/>
                <w:sz w:val="24"/>
                <w:lang w:val="en-US" w:eastAsia="zh-CN" w:bidi="ar"/>
              </w:rPr>
              <w:t>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对建筑工程项目招标文件、资格预审文件的发售、澄清、修改的时限，或确定的提交资格预审申请文件、投标文件的时限不符合规定的行政处罚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57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193</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330217681000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对建筑工程项目招标人接受未通过资格预审的单位或个人参加投标的行政处罚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57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194</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330217679000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对建筑工程项目招标人接受应当拒收的投标文件的行政处罚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57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195</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330217120000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对建筑工程项目招标人无正当理由不发出中标通知书等的行政处罚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196</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330217105000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8"/>
                <w:kern w:val="21"/>
                <w:sz w:val="24"/>
                <w:lang w:bidi="ar"/>
              </w:rPr>
              <w:t>对建筑工程项目招标人超过规定比例收取投标保证金、履约保证金或不按规定退还投标保证金及银行同期存款利息的行政处罚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197</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330217A46000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对建筑工程项目招标人在评标委员会依法推荐的中标候选人以外确定中标人，依法必须进行招标的项目在所有投标被评标委员会否决后自行确定中标人的行政处罚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888"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198</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330217A43000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对建筑工程项目招标代理机构未在招标人委托范围内代理招标事宜，或未经招标人同意转让代理业务的行政处罚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199</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330217036000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10"/>
                <w:kern w:val="21"/>
                <w:sz w:val="24"/>
                <w:lang w:bidi="ar"/>
              </w:rPr>
              <w:t>对建筑工程项目招标代理机构在所代理的招标项目中投标、代理投标或向该项目投标人提供咨询，接受委托编制标底的中介机构参加受托编制标底项目的投标或为该项目的投标人编制投标文件、提供咨询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部分(暂停、取消代理资格除外)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57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200</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330217475000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对出借建筑工程项目投标资质或以他人名义投标的行政处罚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201</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330217G02000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对建筑工程项目评标委员会成员不客观、不公正履行职务的行政处罚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部分(取消担任评标委员会成员资格除外)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202</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330217F97000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对建筑工程项目评标委员会成员收受投标人及其他利害关系人财物或其他好处的行政处罚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部分(取消担任评标委员会成员资格除外)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1218"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203</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330217798000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对建筑工程项目评标委员会成员或参加评标的有关工作人员向他人透露对投标文件的评审和比较、中标候选人的推荐以及与评标有关其他情况的行政处罚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部分(取消担任评标委员会成员资格除外)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132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204</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330217001000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对建筑工程项目中标人无正当理由不与招标人订立合同，在签订合同时向招标人提出附加条件，或不按招标文件要求提交履约保证金的行政处罚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1962"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205</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330217854000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人和中标人不按招标文件和中标人的投标文件订立合同，合同主要条款与招标文件、中标人的投标文件内容不一致，或订立背离合同实质性内容协议的；中标人不按与招标人订立的合同履行义务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206</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330217799000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对建筑工程项目投标人以他人名义投标或以其他方式弄虚作假骗取中标的行政处罚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12"/>
                <w:kern w:val="21"/>
                <w:sz w:val="24"/>
                <w:lang w:bidi="ar"/>
              </w:rPr>
              <w:t>部分(取消投标资格除外)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207</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330217B14000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对建筑工程项目中标人将中标项目转让给他人，将中标项目肢解后分别转让给他人，违反规定将中标项目的部分主体、关键性工作分包给他人，或分包人再次分包的行政处罚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住建</w:t>
            </w:r>
          </w:p>
        </w:tc>
      </w:tr>
      <w:tr>
        <w:tblPrEx>
          <w:tblCellMar>
            <w:top w:w="0" w:type="dxa"/>
            <w:left w:w="108" w:type="dxa"/>
            <w:bottom w:w="0" w:type="dxa"/>
            <w:right w:w="108" w:type="dxa"/>
          </w:tblCellMar>
        </w:tblPrEx>
        <w:trPr>
          <w:trHeight w:val="138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208</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330217A23000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对建筑工程项目招标代理机构泄露应当保密的与招标投标活动有关情况和资料，或与招标人、投标人串通损害国家利益、社会公共利益或他人合法权益的行政处罚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部分(暂停、取消代理资格除外)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spacing w:val="-4"/>
                <w:kern w:val="21"/>
                <w:sz w:val="24"/>
                <w:lang w:eastAsia="zh-CN"/>
              </w:rPr>
            </w:pPr>
            <w:r>
              <w:rPr>
                <w:rFonts w:hint="eastAsia" w:ascii="仿宋_GB2312" w:hAnsi="仿宋_GB2312" w:eastAsia="仿宋_GB2312" w:cs="仿宋_GB2312"/>
                <w:snapToGrid w:val="0"/>
                <w:spacing w:val="-4"/>
                <w:kern w:val="21"/>
                <w:sz w:val="24"/>
              </w:rPr>
              <w:t>住建</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210</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330219194000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对水利工程建设项目招标人邀请招标未依法发出投标邀请书的行政处罚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59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211</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330219234000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对水利工程建设项目招标人不按核准内容进行招标的行政处罚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65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212</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330219235000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对水利工程建设项目投标人数量不符合法定要求而不重新招标的行政处罚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213</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330219180000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对水利工程建设项目招标人不具备自行招标条件而自行招标的行政处罚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214</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330219191000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对水利工程建设项目招标公告或投标邀请书的内容不符合法定要求的行政处罚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53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215</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330219236000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对非法干预评标委员会评标的行政处罚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178"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216</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330219170000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对水利工程建设项目招标代理机构未在招标人委托范围内代理招标事宜，或未经招标人同意转让代理业务的行政处罚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687"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217</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330219233000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对出借水利工程建设项目投标资质的行政处罚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262"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218</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330219169000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对依法必须进行招标的项目水利工程建设项目招标人不招标，将必须进行招标的项目化整为零或以其他任何方式规避招标的行政处罚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219</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330219176000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对水利工程建设项目招标代理机构泄露应当保密的与招标投标活动有关情况和资料，或与招标人、投标人串通损害国家利益、社会公共利益或他人合法权益的行政处罚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部分(暂停、取消代理资格除外)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220</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330219189000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对水利工程建设项目招标人以不合理条件限制或排斥潜在投标人，对潜在投标人实行歧视待遇，强制要求投标人组成联合体共同投标，或限制投标人之间竞争的行政处罚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454"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221</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330219173000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8"/>
                <w:kern w:val="21"/>
                <w:sz w:val="24"/>
                <w:lang w:bidi="ar"/>
              </w:rPr>
              <w:t>对依法必须进行招标的水利建设项目招标人向他人透露已获取招标文件的潜在投标人的名称、数量或可能影响公平竞争的有关招标投标其他情况，或泄露标底的行政处罚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103"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222</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330219188000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对水利工程建设项目投标人相互串通投标或与招标人串通投标，投标人向招标人或评标委员会成员行贿谋取中标的行政处罚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部分(取消投标资格除外)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058"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223</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330219175000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lang w:val="en-US" w:eastAsia="zh-CN"/>
              </w:rPr>
            </w:pPr>
            <w:r>
              <w:rPr>
                <w:rFonts w:hint="eastAsia" w:ascii="仿宋_GB2312" w:hAnsi="仿宋_GB2312" w:eastAsia="仿宋_GB2312" w:cs="仿宋_GB2312"/>
                <w:snapToGrid w:val="0"/>
                <w:color w:val="000000"/>
                <w:spacing w:val="-4"/>
                <w:kern w:val="21"/>
                <w:sz w:val="24"/>
                <w:lang w:bidi="ar"/>
              </w:rPr>
              <w:t>对水利工程建设项目投标人以他人名义投标或以其他方式弄虚作假骗取中标的行政处罚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部分(取消投标资格除外)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224</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330219192000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对水利工程建设项目招标人违反规定将依法必须招标的项目与投标人进行谈判的行政处罚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14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225</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330219179000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对水利工程建设项目评标委员会成员收受投标人及其他利害关系人财物或其他好处的行政处罚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部分(取消担任评标委员会成员资格除外)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30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226</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330219268000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对水利工程建设项目评标委员会成员或参加评标有关工作人员向他人透露对投标文件的评审和比较、中标候选人的推荐以及与评标有关其他情况的行政处罚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部分(取消担任评标委员会成员资格除外)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38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227</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330219182000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8"/>
                <w:kern w:val="21"/>
                <w:sz w:val="24"/>
                <w:lang w:bidi="ar"/>
              </w:rPr>
              <w:t>对水利工程建设项目招标人在评标委员会依法推荐的中标候选人以外确定中标人，依法必须进行招标的项目在所有投标被评标委员会否决后自行确定中标人的行政处罚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636"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228</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330219190000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对水利工程建设项目招标人和中标人不按招标文件和中标人的投标文件订立合同，合同主要条款与招标文件、中标人的投标文件内容不一致，或订立背离合同实质性内容协议的行政处罚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3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229</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330219237000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对水利工程建设项目依法应当公开招标而采用邀请招标的行政处罚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32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230</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330219238000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对水利工程建设项目招标文件、资格预审文件的发售、澄清、修改的时限，或确定的提交资格预审申请文件、投标文件的时限不符合规定的行政处罚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62"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231</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330219239000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对水利工程建设项目招标人接受未通过资格预审的单位或个人参加投标的行政处罚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17"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232</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330219240000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对水利工程建设项目招标人接受应当拒收的投标文件的行政处罚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977"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233</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330219186000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代理机构在所代理的招标项目中投标、代理投标或向该项目投标人提供咨询，接受委托编制标底的中介机构参加受托编制标底项目的投标或为该项目的投标人编制投标文件、提供咨询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部分(暂停、取消代理资格除外)</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006"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234</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330219178000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对水利工程建设项目招标人超过规定比例收取投标保证金、履约保证金或不按规定退还投标保证金及银行同期存款利息的行政处罚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125"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235</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330219172000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对依法必须进行招标的水利工程建设项目招标人不按规定组建评标委员会，或确定、更换评标委员会成员违反规定的行政处罚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236</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330219196000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对水利工程建设项目招标人无正当理由不发出中标通知书等的行政处罚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r>
        <w:tblPrEx>
          <w:tblCellMar>
            <w:top w:w="0" w:type="dxa"/>
            <w:left w:w="108" w:type="dxa"/>
            <w:bottom w:w="0" w:type="dxa"/>
            <w:right w:w="108" w:type="dxa"/>
          </w:tblCellMar>
        </w:tblPrEx>
        <w:trPr>
          <w:trHeight w:val="1350" w:hRule="atLeast"/>
          <w:jc w:val="center"/>
        </w:trPr>
        <w:tc>
          <w:tcPr>
            <w:tcW w:w="728"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237</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330219171000</w:t>
            </w:r>
          </w:p>
        </w:tc>
        <w:tc>
          <w:tcPr>
            <w:tcW w:w="4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both"/>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对水利工程建设项目中标人无正当理由不与招标人订立合同，在签订合同时向招标人提出附加条件，或不按招标文件要求提交履约保证金的行政处罚</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rPr>
            </w:pPr>
            <w:r>
              <w:rPr>
                <w:rFonts w:hint="eastAsia" w:ascii="仿宋_GB2312" w:hAnsi="仿宋_GB2312" w:eastAsia="仿宋_GB2312" w:cs="仿宋_GB2312"/>
                <w:snapToGrid w:val="0"/>
                <w:color w:val="000000"/>
                <w:spacing w:val="-4"/>
                <w:kern w:val="21"/>
                <w:sz w:val="24"/>
                <w:lang w:bidi="ar"/>
              </w:rPr>
              <w:t>全部</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val="0"/>
              <w:snapToGrid w:val="0"/>
              <w:spacing w:line="240" w:lineRule="atLeast"/>
              <w:ind w:firstLine="0" w:firstLineChars="0"/>
              <w:jc w:val="center"/>
              <w:textAlignment w:val="center"/>
              <w:rPr>
                <w:rFonts w:hint="eastAsia" w:ascii="仿宋_GB2312" w:hAnsi="仿宋_GB2312" w:eastAsia="仿宋_GB2312" w:cs="仿宋_GB2312"/>
                <w:snapToGrid w:val="0"/>
                <w:color w:val="000000"/>
                <w:spacing w:val="-4"/>
                <w:kern w:val="21"/>
                <w:sz w:val="24"/>
                <w:lang w:eastAsia="zh-CN" w:bidi="ar"/>
              </w:rPr>
            </w:pPr>
            <w:r>
              <w:rPr>
                <w:rFonts w:hint="eastAsia" w:ascii="仿宋_GB2312" w:hAnsi="仿宋_GB2312" w:eastAsia="仿宋_GB2312" w:cs="仿宋_GB2312"/>
                <w:snapToGrid w:val="0"/>
                <w:color w:val="000000"/>
                <w:spacing w:val="-4"/>
                <w:kern w:val="21"/>
                <w:sz w:val="24"/>
                <w:lang w:bidi="ar"/>
              </w:rPr>
              <w:t>水利</w:t>
            </w: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OTdkYmU5OGQ3ZGVlNDg1N2RhMmIyNGE4MDAzZDIifQ=="/>
  </w:docVars>
  <w:rsids>
    <w:rsidRoot w:val="61F33764"/>
    <w:rsid w:val="37A57AD9"/>
    <w:rsid w:val="4BD346AB"/>
    <w:rsid w:val="61F3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eastAsia="宋体" w:cs="Times New Roman"/>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缩进1"/>
    <w:qFormat/>
    <w:uiPriority w:val="0"/>
    <w:pPr>
      <w:widowControl w:val="0"/>
      <w:ind w:firstLine="420" w:firstLineChars="20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3456</Words>
  <Characters>4211</Characters>
  <Lines>0</Lines>
  <Paragraphs>0</Paragraphs>
  <TotalTime>2</TotalTime>
  <ScaleCrop>false</ScaleCrop>
  <LinksUpToDate>false</LinksUpToDate>
  <CharactersWithSpaces>4211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2023-04-23T02:32:00Z</dcterms:created>
  <dc:creator>stillkaka</dc:creator>
  <cp:lastModifiedBy>Administrator</cp:lastModifiedBy>
  <dcterms:modified xsi:type="dcterms:W3CDTF">2023-05-12T03:32:42Z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768B40A703FF444CB994F5B634C5593D_11</vt:lpwstr>
  </property>
</Properties>
</file>