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
          <w:sz w:val="32"/>
          <w:szCs w:val="32"/>
        </w:rPr>
      </w:pPr>
      <w:r>
        <w:rPr>
          <w:rFonts w:hint="eastAsia" w:ascii="黑体" w:hAnsi="黑体" w:eastAsia="黑体"/>
          <w:b/>
          <w:sz w:val="32"/>
          <w:szCs w:val="32"/>
        </w:rPr>
        <w:t>附件：</w:t>
      </w:r>
    </w:p>
    <w:p>
      <w:pPr>
        <w:widowControl/>
        <w:spacing w:line="356" w:lineRule="atLeast"/>
        <w:jc w:val="center"/>
        <w:rPr>
          <w:rFonts w:hint="eastAsia" w:ascii="方正小标宋简体" w:hAnsi="宋体" w:eastAsia="方正小标宋简体" w:cs="宋体"/>
          <w:bCs/>
          <w:color w:val="000000"/>
          <w:kern w:val="0"/>
          <w:sz w:val="36"/>
          <w:szCs w:val="36"/>
        </w:rPr>
      </w:pPr>
      <w:bookmarkStart w:id="0" w:name="_GoBack"/>
      <w:r>
        <w:rPr>
          <w:rFonts w:hint="eastAsia" w:ascii="方正小标宋简体" w:hAnsi="宋体" w:eastAsia="方正小标宋简体" w:cs="宋体"/>
          <w:bCs/>
          <w:color w:val="000000"/>
          <w:kern w:val="0"/>
          <w:sz w:val="36"/>
          <w:szCs w:val="36"/>
        </w:rPr>
        <w:t>北仑区民办教育培训机构年度综合督查表</w:t>
      </w:r>
      <w:bookmarkEnd w:id="0"/>
    </w:p>
    <w:p>
      <w:pPr>
        <w:widowControl/>
        <w:spacing w:line="340" w:lineRule="exact"/>
        <w:jc w:val="left"/>
        <w:rPr>
          <w:rFonts w:hint="eastAsia" w:ascii="宋体" w:hAnsi="宋体" w:cs="宋体"/>
          <w:b/>
          <w:color w:val="000000"/>
          <w:kern w:val="0"/>
          <w:sz w:val="28"/>
          <w:szCs w:val="32"/>
        </w:rPr>
      </w:pPr>
      <w:r>
        <w:rPr>
          <w:rFonts w:hint="eastAsia" w:ascii="仿宋_GB2312" w:hAnsi="宋体" w:eastAsia="仿宋_GB2312" w:cs="宋体"/>
          <w:color w:val="000000"/>
          <w:kern w:val="0"/>
          <w:sz w:val="24"/>
        </w:rPr>
        <w:t>学校名称（盖章）:</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 xml:space="preserve">    </w:t>
      </w:r>
    </w:p>
    <w:tbl>
      <w:tblPr>
        <w:tblStyle w:val="6"/>
        <w:tblW w:w="14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60"/>
        <w:gridCol w:w="5050"/>
        <w:gridCol w:w="639"/>
        <w:gridCol w:w="2061"/>
        <w:gridCol w:w="853"/>
        <w:gridCol w:w="1278"/>
        <w:gridCol w:w="853"/>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blHeader/>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项目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评估内容</w:t>
            </w:r>
          </w:p>
        </w:tc>
        <w:tc>
          <w:tcPr>
            <w:tcW w:w="50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评估标准</w:t>
            </w:r>
          </w:p>
        </w:tc>
        <w:tc>
          <w:tcPr>
            <w:tcW w:w="6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分值</w:t>
            </w:r>
          </w:p>
        </w:tc>
        <w:tc>
          <w:tcPr>
            <w:tcW w:w="2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检查内容与方法</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自查</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blHeader/>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50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2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9"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right="113"/>
              <w:jc w:val="center"/>
              <w:rPr>
                <w:rFonts w:hint="eastAsia" w:ascii="仿宋_GB2312" w:hAnsi="宋体" w:eastAsia="仿宋_GB2312" w:cs="宋体"/>
                <w:kern w:val="0"/>
                <w:sz w:val="24"/>
              </w:rPr>
            </w:pPr>
            <w:r>
              <w:rPr>
                <w:rFonts w:hint="eastAsia" w:ascii="仿宋_GB2312" w:hAnsi="宋体" w:eastAsia="仿宋_GB2312" w:cs="宋体"/>
                <w:kern w:val="0"/>
                <w:sz w:val="24"/>
              </w:rPr>
              <w:t>指导思想</w:t>
            </w:r>
          </w:p>
          <w:p>
            <w:pPr>
              <w:widowControl/>
              <w:spacing w:line="280" w:lineRule="exact"/>
              <w:ind w:right="113"/>
              <w:jc w:val="center"/>
              <w:rPr>
                <w:rFonts w:hint="eastAsia" w:ascii="仿宋_GB2312" w:hAnsi="宋体" w:eastAsia="仿宋_GB2312" w:cs="宋体"/>
                <w:kern w:val="0"/>
                <w:sz w:val="24"/>
              </w:rPr>
            </w:pPr>
            <w:r>
              <w:rPr>
                <w:rFonts w:hint="eastAsia" w:ascii="仿宋_GB2312" w:hAnsi="宋体" w:eastAsia="仿宋_GB2312" w:cs="宋体"/>
                <w:kern w:val="0"/>
                <w:sz w:val="24"/>
              </w:rPr>
              <w:t>8分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办学方向</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(教研室)</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 w:hAnsi="仿宋" w:eastAsia="仿宋" w:cs="仿宋"/>
                <w:kern w:val="0"/>
                <w:sz w:val="24"/>
                <w:szCs w:val="24"/>
                <w:shd w:val="clear" w:color="auto" w:fill="FFFFFF"/>
              </w:rPr>
              <w:t>全面贯彻党的教育方针，落实立德树人根本任务，以凝聚人心、完善人格、开发人力、培育人才、造福人民为工作目标，坚持</w:t>
            </w:r>
            <w:r>
              <w:fldChar w:fldCharType="begin"/>
            </w:r>
            <w:r>
              <w:instrText xml:space="preserve"> HYPERLINK "https://baike.baidu.com/item/%E5%BE%B7%E6%99%BA%E4%BD%93%E7%BE%8E%E5%8A%B3/9941950" \t "https://baike.baidu.com/item/%E5%85%B3%E4%BA%8E%E5%8D%B0%E5%8F%91%E4%B8%AD%E5%B0%8F%E5%AD%A6%E7%94%9F%E5%87%8F%E8%B4%9F%E6%8E%AA%E6%96%BD%E7%9A%84%E9%80%9A%E7%9F%A5/_blank" </w:instrText>
            </w:r>
            <w:r>
              <w:fldChar w:fldCharType="separate"/>
            </w:r>
            <w:r>
              <w:rPr>
                <w:rStyle w:val="5"/>
                <w:rFonts w:hint="eastAsia" w:ascii="仿宋" w:hAnsi="仿宋" w:eastAsia="仿宋" w:cs="仿宋"/>
                <w:sz w:val="24"/>
                <w:szCs w:val="24"/>
                <w:shd w:val="clear" w:color="auto" w:fill="FFFFFF"/>
              </w:rPr>
              <w:t>德智体美劳</w:t>
            </w:r>
            <w:r>
              <w:rPr>
                <w:rStyle w:val="5"/>
                <w:rFonts w:hint="eastAsia" w:ascii="仿宋" w:hAnsi="仿宋" w:eastAsia="仿宋" w:cs="仿宋"/>
                <w:sz w:val="24"/>
                <w:szCs w:val="24"/>
                <w:shd w:val="clear" w:color="auto" w:fill="FFFFFF"/>
              </w:rPr>
              <w:fldChar w:fldCharType="end"/>
            </w:r>
            <w:r>
              <w:rPr>
                <w:rFonts w:hint="eastAsia" w:ascii="仿宋" w:hAnsi="仿宋" w:eastAsia="仿宋" w:cs="仿宋"/>
                <w:kern w:val="0"/>
                <w:sz w:val="24"/>
                <w:szCs w:val="24"/>
                <w:shd w:val="clear" w:color="auto" w:fill="FFFFFF"/>
              </w:rPr>
              <w:t>全面培养，发展</w:t>
            </w:r>
            <w:r>
              <w:fldChar w:fldCharType="begin"/>
            </w:r>
            <w:r>
              <w:instrText xml:space="preserve"> HYPERLINK "https://baike.baidu.com/item/%E7%B4%A0%E8%B4%A8%E6%95%99%E8%82%B2/82439" \t "https://baike.baidu.com/item/%E5%85%B3%E4%BA%8E%E5%8D%B0%E5%8F%91%E4%B8%AD%E5%B0%8F%E5%AD%A6%E7%94%9F%E5%87%8F%E8%B4%9F%E6%8E%AA%E6%96%BD%E7%9A%84%E9%80%9A%E7%9F%A5/_blank" </w:instrText>
            </w:r>
            <w:r>
              <w:fldChar w:fldCharType="separate"/>
            </w:r>
            <w:r>
              <w:rPr>
                <w:rStyle w:val="5"/>
                <w:rFonts w:hint="eastAsia" w:ascii="仿宋" w:hAnsi="仿宋" w:eastAsia="仿宋" w:cs="仿宋"/>
                <w:sz w:val="24"/>
                <w:szCs w:val="24"/>
                <w:shd w:val="clear" w:color="auto" w:fill="FFFFFF"/>
              </w:rPr>
              <w:t>素质教育</w:t>
            </w:r>
            <w:r>
              <w:rPr>
                <w:rStyle w:val="5"/>
                <w:rFonts w:hint="eastAsia" w:ascii="仿宋" w:hAnsi="仿宋" w:eastAsia="仿宋" w:cs="仿宋"/>
                <w:sz w:val="24"/>
                <w:szCs w:val="24"/>
                <w:shd w:val="clear" w:color="auto" w:fill="FFFFFF"/>
              </w:rPr>
              <w:fldChar w:fldCharType="end"/>
            </w:r>
            <w:r>
              <w:rPr>
                <w:rFonts w:hint="eastAsia" w:ascii="仿宋" w:hAnsi="仿宋" w:eastAsia="仿宋" w:cs="仿宋"/>
                <w:kern w:val="0"/>
                <w:sz w:val="24"/>
                <w:szCs w:val="24"/>
                <w:shd w:val="clear" w:color="auto" w:fill="FFFFFF"/>
              </w:rPr>
              <w:t>，促进学生健康成长。</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查看学校章程、目标和规划。</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依法办学</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6分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（职成教科）</w:t>
            </w:r>
          </w:p>
        </w:tc>
        <w:tc>
          <w:tcPr>
            <w:tcW w:w="5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spacing w:val="-4"/>
                <w:kern w:val="0"/>
                <w:sz w:val="24"/>
              </w:rPr>
              <w:t>根据按需施教、学用结合的原则，进行培训教育。</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查看体现办学宗旨的相关材料。</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5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Chars="-1" w:hanging="2" w:hangingChars="1"/>
              <w:rPr>
                <w:rFonts w:hint="eastAsia" w:ascii="仿宋_GB2312" w:hAnsi="宋体" w:eastAsia="仿宋_GB2312" w:cs="宋体"/>
                <w:kern w:val="0"/>
                <w:sz w:val="24"/>
              </w:rPr>
            </w:pPr>
            <w:r>
              <w:rPr>
                <w:rFonts w:hint="eastAsia" w:ascii="仿宋_GB2312" w:hAnsi="宋体" w:eastAsia="仿宋_GB2312" w:cs="宋体"/>
                <w:kern w:val="0"/>
                <w:sz w:val="24"/>
              </w:rPr>
              <w:t>严格按照有关法律和规定办学</w:t>
            </w:r>
            <w:r>
              <w:rPr>
                <w:rFonts w:hint="eastAsia" w:ascii="仿宋_GB2312" w:hAnsi="宋体" w:eastAsia="仿宋_GB2312" w:cs="宋体"/>
                <w:spacing w:val="-6"/>
                <w:kern w:val="0"/>
                <w:sz w:val="24"/>
              </w:rPr>
              <w:t>，办学许可证、民办非企业登记证（或营业执照），收费项目和标准、收退费办法、校牌等，需上墙公示。</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spacing w:val="-6"/>
                <w:kern w:val="0"/>
                <w:sz w:val="24"/>
              </w:rPr>
              <w:t>查看各类证件原件是否在有效期内。</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5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spacing w:val="-6"/>
                <w:kern w:val="0"/>
                <w:sz w:val="24"/>
              </w:rPr>
              <w:t>①办学行为规范，严格按核准的层次、类别、范围办学；②严格按照审批机关备案的内容发布招生简章和广告；③使用正版教材。</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spacing w:val="-6"/>
                <w:kern w:val="0"/>
                <w:sz w:val="24"/>
              </w:rPr>
              <w:t>查看招生简章和广告；检查有无违规办班现象。</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right="113"/>
              <w:jc w:val="center"/>
              <w:rPr>
                <w:rFonts w:hint="eastAsia" w:ascii="仿宋_GB2312" w:hAnsi="宋体" w:eastAsia="仿宋_GB2312" w:cs="宋体"/>
                <w:kern w:val="0"/>
                <w:sz w:val="24"/>
              </w:rPr>
            </w:pPr>
            <w:r>
              <w:rPr>
                <w:rFonts w:hint="eastAsia" w:ascii="仿宋_GB2312" w:hAnsi="宋体" w:eastAsia="仿宋_GB2312" w:cs="宋体"/>
                <w:kern w:val="0"/>
                <w:sz w:val="24"/>
              </w:rPr>
              <w:t>管理机制</w:t>
            </w:r>
          </w:p>
          <w:p>
            <w:pPr>
              <w:widowControl/>
              <w:spacing w:line="280" w:lineRule="exact"/>
              <w:ind w:right="113"/>
              <w:jc w:val="center"/>
              <w:rPr>
                <w:rFonts w:hint="eastAsia" w:ascii="仿宋_GB2312" w:hAnsi="宋体" w:eastAsia="仿宋_GB2312" w:cs="宋体"/>
                <w:kern w:val="0"/>
                <w:sz w:val="24"/>
              </w:rPr>
            </w:pPr>
            <w:r>
              <w:rPr>
                <w:rFonts w:hint="eastAsia" w:ascii="仿宋_GB2312" w:hAnsi="宋体" w:eastAsia="仿宋_GB2312" w:cs="宋体"/>
                <w:kern w:val="0"/>
                <w:sz w:val="24"/>
              </w:rPr>
              <w:t>6分</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组织机构</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6分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（职成教科）</w:t>
            </w:r>
          </w:p>
        </w:tc>
        <w:tc>
          <w:tcPr>
            <w:tcW w:w="505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学校决策机构（理事会或董事会）成立情况良好，职责明确；三分之一以上的董事或理事具有五年以上教育教学经验。</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spacing w:val="-6"/>
                <w:kern w:val="0"/>
                <w:sz w:val="24"/>
              </w:rPr>
            </w:pPr>
            <w:r>
              <w:rPr>
                <w:rFonts w:hint="eastAsia" w:ascii="仿宋_GB2312" w:hAnsi="宋体" w:eastAsia="仿宋_GB2312" w:cs="宋体"/>
                <w:spacing w:val="-6"/>
                <w:kern w:val="0"/>
                <w:sz w:val="24"/>
              </w:rPr>
              <w:t>2</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spacing w:val="-6"/>
                <w:kern w:val="0"/>
                <w:sz w:val="24"/>
              </w:rPr>
            </w:pPr>
            <w:r>
              <w:rPr>
                <w:rFonts w:hint="eastAsia" w:ascii="仿宋_GB2312" w:hAnsi="宋体" w:eastAsia="仿宋_GB2312" w:cs="宋体"/>
                <w:spacing w:val="-6"/>
                <w:kern w:val="0"/>
                <w:sz w:val="24"/>
              </w:rPr>
              <w:t>查看相关档案。</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5050" w:type="dxa"/>
            <w:tcBorders>
              <w:top w:val="single" w:color="auto" w:sz="4" w:space="0"/>
              <w:left w:val="single" w:color="auto" w:sz="4" w:space="0"/>
              <w:right w:val="single" w:color="auto" w:sz="4" w:space="0"/>
            </w:tcBorders>
            <w:vAlign w:val="center"/>
          </w:tcPr>
          <w:p>
            <w:pPr>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校长具有教师资格、专职、不超龄。</w:t>
            </w:r>
          </w:p>
        </w:tc>
        <w:tc>
          <w:tcPr>
            <w:tcW w:w="639" w:type="dxa"/>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spacing w:val="-6"/>
                <w:kern w:val="0"/>
                <w:sz w:val="24"/>
              </w:rPr>
            </w:pPr>
            <w:r>
              <w:rPr>
                <w:rFonts w:hint="eastAsia" w:ascii="仿宋_GB2312" w:hAnsi="宋体" w:eastAsia="仿宋_GB2312" w:cs="宋体"/>
                <w:spacing w:val="-6"/>
                <w:kern w:val="0"/>
                <w:sz w:val="24"/>
              </w:rPr>
              <w:t>2</w:t>
            </w:r>
          </w:p>
        </w:tc>
        <w:tc>
          <w:tcPr>
            <w:tcW w:w="2061" w:type="dxa"/>
            <w:tcBorders>
              <w:top w:val="single" w:color="auto" w:sz="4" w:space="0"/>
              <w:left w:val="single" w:color="auto" w:sz="4" w:space="0"/>
              <w:right w:val="single" w:color="auto" w:sz="4" w:space="0"/>
            </w:tcBorders>
            <w:vAlign w:val="center"/>
          </w:tcPr>
          <w:p>
            <w:pPr>
              <w:widowControl/>
              <w:spacing w:line="280" w:lineRule="exact"/>
              <w:rPr>
                <w:rFonts w:hint="eastAsia" w:ascii="仿宋_GB2312" w:hAnsi="宋体" w:eastAsia="仿宋_GB2312" w:cs="宋体"/>
                <w:spacing w:val="-6"/>
                <w:kern w:val="0"/>
                <w:sz w:val="24"/>
              </w:rPr>
            </w:pPr>
            <w:r>
              <w:rPr>
                <w:rFonts w:hint="eastAsia" w:ascii="仿宋_GB2312" w:hAnsi="宋体" w:eastAsia="仿宋_GB2312" w:cs="宋体"/>
                <w:spacing w:val="-6"/>
                <w:kern w:val="0"/>
                <w:sz w:val="24"/>
              </w:rPr>
              <w:t>查看校长资格证，及校长身份证。</w:t>
            </w:r>
          </w:p>
        </w:tc>
        <w:tc>
          <w:tcPr>
            <w:tcW w:w="853" w:type="dxa"/>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78" w:type="dxa"/>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36" w:type="dxa"/>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50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机构设置健全，规章制度完备，部门职责明确。</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查看规章制度和职能部门设置和落实情况。</w:t>
            </w: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bl>
    <w:p>
      <w:pPr>
        <w:spacing w:line="340" w:lineRule="exact"/>
        <w:rPr>
          <w:rFonts w:hint="eastAsia" w:ascii="仿宋_GB2312" w:eastAsia="仿宋_GB2312"/>
          <w:szCs w:val="21"/>
        </w:rPr>
        <w:sectPr>
          <w:pgSz w:w="16838" w:h="11906" w:orient="landscape"/>
          <w:pgMar w:top="1440" w:right="1418" w:bottom="1440" w:left="1418" w:header="851" w:footer="1247" w:gutter="0"/>
          <w:pgNumType w:fmt="numberInDash"/>
          <w:cols w:space="720" w:num="1"/>
          <w:docGrid w:linePitch="312" w:charSpace="0"/>
        </w:sectPr>
      </w:pPr>
    </w:p>
    <w:tbl>
      <w:tblPr>
        <w:tblStyle w:val="6"/>
        <w:tblW w:w="1463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55"/>
        <w:gridCol w:w="5225"/>
        <w:gridCol w:w="630"/>
        <w:gridCol w:w="2430"/>
        <w:gridCol w:w="720"/>
        <w:gridCol w:w="1319"/>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项目</w:t>
            </w:r>
          </w:p>
        </w:tc>
        <w:tc>
          <w:tcPr>
            <w:tcW w:w="12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评估内容</w:t>
            </w:r>
          </w:p>
        </w:tc>
        <w:tc>
          <w:tcPr>
            <w:tcW w:w="52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评估标准</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分值</w:t>
            </w:r>
          </w:p>
        </w:tc>
        <w:tc>
          <w:tcPr>
            <w:tcW w:w="24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检查内容与方法</w:t>
            </w:r>
          </w:p>
        </w:tc>
        <w:tc>
          <w:tcPr>
            <w:tcW w:w="2039"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自检</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blHead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24"/>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24"/>
              </w:rPr>
            </w:pPr>
          </w:p>
        </w:tc>
        <w:tc>
          <w:tcPr>
            <w:tcW w:w="52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24"/>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080"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办学</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条件</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26分</w:t>
            </w: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校舍与场地10分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（职成教科）</w:t>
            </w:r>
          </w:p>
        </w:tc>
        <w:tc>
          <w:tcPr>
            <w:tcW w:w="522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rPr>
            </w:pPr>
            <w:r>
              <w:rPr>
                <w:rFonts w:hint="eastAsia" w:ascii="仿宋" w:hAnsi="仿宋" w:eastAsia="仿宋" w:cs="仿宋"/>
                <w:sz w:val="24"/>
                <w:szCs w:val="24"/>
              </w:rPr>
              <w:t>办学场地总建筑面积不少于200平方米；教学用房建筑面积不少于总面积的2/3；有消防安全和房屋安全鉴定。</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自有场地的查产权证，租赁的还需查租赁合同；办学楼实地考察。</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080" w:type="dxa"/>
            <w:vMerge w:val="continue"/>
            <w:tcBorders>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教学点10分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（职成教科）</w:t>
            </w:r>
          </w:p>
        </w:tc>
        <w:tc>
          <w:tcPr>
            <w:tcW w:w="522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 w:hAnsi="仿宋" w:eastAsia="仿宋" w:cs="仿宋"/>
                <w:sz w:val="24"/>
                <w:szCs w:val="24"/>
              </w:rPr>
            </w:pPr>
            <w:r>
              <w:rPr>
                <w:rFonts w:hint="eastAsia" w:ascii="仿宋" w:hAnsi="仿宋" w:eastAsia="仿宋" w:cs="仿宋"/>
                <w:sz w:val="24"/>
                <w:szCs w:val="24"/>
              </w:rPr>
              <w:t>无未经教育局备案而私设的教学点（私设一个教学点扣2分，私设两个教学点扣5分，私设三个及已上教学点扣10分）。</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实地考察。</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1080" w:type="dxa"/>
            <w:vMerge w:val="continue"/>
            <w:tcBorders>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教学设施</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12分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（职成教科）</w:t>
            </w:r>
          </w:p>
        </w:tc>
        <w:tc>
          <w:tcPr>
            <w:tcW w:w="52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①有与教学相适应的教学和办公用房、教学仪器和设备，能满足教学需要；②生均教学用房建筑面积不低于生均3平方米（按课桌椅数量计算）；③校长室、教室、办公室“三室齐全”；④招収14周岁以上人群的，校舍在5楼以下（含5楼），招收14周岁以下（含14周岁）人群的，校舍在3楼以下（含3楼）；招收混合人群的，校舍在3楼以下（含3楼）；⑤学校有3名及以上党员的，应配党建工作室。</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12</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实地考察。</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trPr>
        <w:tc>
          <w:tcPr>
            <w:tcW w:w="1080"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师资队伍</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（人事科）</w:t>
            </w:r>
          </w:p>
        </w:tc>
        <w:tc>
          <w:tcPr>
            <w:tcW w:w="522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eastAsia="仿宋_GB2312"/>
              </w:rPr>
            </w:pPr>
            <w:r>
              <w:rPr>
                <w:rFonts w:hint="eastAsia" w:ascii="仿宋" w:hAnsi="仿宋" w:eastAsia="仿宋" w:cs="仿宋"/>
                <w:sz w:val="24"/>
                <w:szCs w:val="24"/>
              </w:rPr>
              <w:t>①有与所开设专业相适应、稳定的专兼职教师队伍；教师数不少于开班总数；②教师有聘任手续，具有毕业证、教师资格证等相关证件。③不聘用在职中小学教师担任兼职教师；</w:t>
            </w:r>
            <w:r>
              <w:rPr>
                <w:rFonts w:hint="eastAsia" w:ascii="仿宋_GB2312" w:hAnsi="宋体" w:eastAsia="仿宋_GB2312" w:cs="宋体"/>
                <w:kern w:val="0"/>
                <w:sz w:val="24"/>
              </w:rPr>
              <w:t>④学校建有教师档案。</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查看教师花名册和教师相关证件。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7" w:hRule="atLeast"/>
        </w:trPr>
        <w:tc>
          <w:tcPr>
            <w:tcW w:w="1080"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学校</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管理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33分</w:t>
            </w:r>
          </w:p>
        </w:tc>
        <w:tc>
          <w:tcPr>
            <w:tcW w:w="1255"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教学管理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6分</w:t>
            </w:r>
          </w:p>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(教研室)</w:t>
            </w:r>
          </w:p>
        </w:tc>
        <w:tc>
          <w:tcPr>
            <w:tcW w:w="52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①教学计划无超纲、提前、强化应试；②教学常规落实到位，有检查，有评价，有课程表并张贴上墙。</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查看教学计划、总结、教师教案，教学常规检查记录。</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1080" w:type="dxa"/>
            <w:vMerge w:val="continue"/>
            <w:tcBorders>
              <w:left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p>
        </w:tc>
        <w:tc>
          <w:tcPr>
            <w:tcW w:w="125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52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按办学性质实施教学计划，正点上课，准点下课，没有随意性。培训结束不晚于20:30。</w:t>
            </w:r>
          </w:p>
        </w:tc>
        <w:tc>
          <w:tcPr>
            <w:tcW w:w="6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kern w:val="0"/>
                <w:sz w:val="24"/>
              </w:rPr>
            </w:pPr>
            <w:r>
              <w:rPr>
                <w:rFonts w:hint="eastAsia" w:ascii="仿宋_GB2312" w:hAnsi="宋体" w:eastAsia="仿宋_GB2312" w:cs="宋体"/>
                <w:kern w:val="0"/>
                <w:sz w:val="24"/>
              </w:rPr>
              <w:t>查看教研活动记录、资料。</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31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24"/>
              </w:rPr>
            </w:pPr>
          </w:p>
        </w:tc>
      </w:tr>
    </w:tbl>
    <w:p>
      <w:pPr>
        <w:widowControl/>
        <w:spacing w:line="320" w:lineRule="exact"/>
        <w:jc w:val="center"/>
        <w:rPr>
          <w:rFonts w:hint="eastAsia" w:ascii="仿宋_GB2312" w:hAnsi="宋体" w:eastAsia="仿宋_GB2312" w:cs="宋体"/>
          <w:color w:val="000000"/>
          <w:kern w:val="0"/>
          <w:sz w:val="24"/>
        </w:rPr>
        <w:sectPr>
          <w:pgSz w:w="16838" w:h="11906" w:orient="landscape"/>
          <w:pgMar w:top="1418" w:right="1440" w:bottom="1418" w:left="1440" w:header="851" w:footer="1247" w:gutter="0"/>
          <w:pgNumType w:fmt="numberInDash"/>
          <w:cols w:space="720" w:num="1"/>
          <w:docGrid w:linePitch="312" w:charSpace="0"/>
        </w:sectPr>
      </w:pPr>
    </w:p>
    <w:tbl>
      <w:tblPr>
        <w:tblStyle w:val="6"/>
        <w:tblW w:w="144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55"/>
        <w:gridCol w:w="5405"/>
        <w:gridCol w:w="720"/>
        <w:gridCol w:w="1980"/>
        <w:gridCol w:w="810"/>
        <w:gridCol w:w="126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blHead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项目</w:t>
            </w:r>
          </w:p>
        </w:tc>
        <w:tc>
          <w:tcPr>
            <w:tcW w:w="12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评估内容</w:t>
            </w:r>
          </w:p>
        </w:tc>
        <w:tc>
          <w:tcPr>
            <w:tcW w:w="54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评估标准</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分值</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检查内容与方法</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自检</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blHead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54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08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学校</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管理</w:t>
            </w:r>
          </w:p>
          <w:p>
            <w:pPr>
              <w:widowControl/>
              <w:spacing w:line="300" w:lineRule="exact"/>
              <w:jc w:val="center"/>
              <w:rPr>
                <w:rFonts w:hint="eastAsia" w:ascii="仿宋_GB2312" w:hAnsi="宋体" w:eastAsia="仿宋_GB2312" w:cs="宋体"/>
                <w:kern w:val="0"/>
                <w:sz w:val="24"/>
              </w:rPr>
            </w:pPr>
          </w:p>
        </w:tc>
        <w:tc>
          <w:tcPr>
            <w:tcW w:w="12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安全管理10分</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(综合科)</w:t>
            </w:r>
          </w:p>
        </w:tc>
        <w:tc>
          <w:tcPr>
            <w:tcW w:w="5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①建立健全安全领导机构，落实安全责任;②健全完善各类安全制度和应急预案;③组织开展必要的安全教育（如交通、防溺水），提醒家长做好相应的监护管理工作;④消防、交通、食品等安全管理到位（给学生供餐的学校，要查看食品安全有关证件和索证索帐等）;⑤经常性组织开展消防、校舍及各类设备设施安全隐患排查整治活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查看安全制度、消防疏散图和安全领导组织，并实地考察。</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1080"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5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财务管理</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15分</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(计财科)</w:t>
            </w:r>
          </w:p>
        </w:tc>
        <w:tc>
          <w:tcPr>
            <w:tcW w:w="5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有合法、稳定的办学经费来源，并有足够的资金保证学校正常运转和持续发展。</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查看账目。</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trPr>
        <w:tc>
          <w:tcPr>
            <w:tcW w:w="1080"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55"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5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①严格执行收费的有关政策，收费项目及标准符合规定；②收费票据符合财税管理要求，票据填写规范，；③公示收退费制度，无乱收费现象。④学生中途转学、退学应按《宁波市培训机构收费退费管理暂行办法》执行。</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查看收费票据和收费、退费公示榜。</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trPr>
        <w:tc>
          <w:tcPr>
            <w:tcW w:w="1080"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55" w:type="dxa"/>
            <w:vMerge w:val="continue"/>
            <w:tcBorders>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5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①依法建立和实施学校预决算、财务审计等财务管理制度；②账册齐全，账目清楚；③有年度财务报告，并通过会计事务所的审计。</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查看财务账目和制度。</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108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5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①依法管理和使用学校财产，学校存续期间，没有出现转让或校外担保；②学校办学经费没有挪用或抽逃，学校的积累用于教育投入和改善办学条件。③营利性学校按照公司法相关条款执行。</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查看账目和审计报告。</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08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师生权益保障</w:t>
            </w:r>
          </w:p>
          <w:p>
            <w:pPr>
              <w:widowControl/>
              <w:spacing w:line="300" w:lineRule="exact"/>
              <w:jc w:val="center"/>
              <w:rPr>
                <w:rFonts w:hint="eastAsia" w:ascii="仿宋_GB2312" w:hAnsi="宋体" w:eastAsia="仿宋_GB2312" w:cs="宋体"/>
                <w:kern w:val="0"/>
                <w:sz w:val="24"/>
              </w:rPr>
            </w:pPr>
          </w:p>
        </w:tc>
        <w:tc>
          <w:tcPr>
            <w:tcW w:w="1255"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教职工权益</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9分</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（人事科）</w:t>
            </w:r>
          </w:p>
        </w:tc>
        <w:tc>
          <w:tcPr>
            <w:tcW w:w="5405" w:type="dxa"/>
            <w:tcBorders>
              <w:top w:val="single" w:color="auto" w:sz="4" w:space="0"/>
              <w:left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与教职工签订聘用合同，依法保障教职工的工资、福利待遇。</w:t>
            </w:r>
          </w:p>
        </w:tc>
        <w:tc>
          <w:tcPr>
            <w:tcW w:w="720"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1980" w:type="dxa"/>
            <w:tcBorders>
              <w:top w:val="single" w:color="auto" w:sz="4" w:space="0"/>
              <w:left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查看合同和相关资料。</w:t>
            </w:r>
          </w:p>
        </w:tc>
        <w:tc>
          <w:tcPr>
            <w:tcW w:w="810"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08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55"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54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定期组织教师进行教学业务培训和思想品德教育。</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查看培训和活动计划、记录。</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bl>
    <w:p>
      <w:pPr>
        <w:widowControl/>
        <w:spacing w:line="300" w:lineRule="exact"/>
        <w:jc w:val="center"/>
        <w:rPr>
          <w:rFonts w:hint="eastAsia" w:ascii="仿宋_GB2312" w:hAnsi="宋体" w:eastAsia="仿宋_GB2312" w:cs="宋体"/>
          <w:color w:val="000000"/>
          <w:kern w:val="0"/>
          <w:sz w:val="24"/>
        </w:rPr>
        <w:sectPr>
          <w:pgSz w:w="16838" w:h="11906" w:orient="landscape"/>
          <w:pgMar w:top="1418" w:right="1440" w:bottom="1418" w:left="1440" w:header="851" w:footer="1247" w:gutter="0"/>
          <w:pgNumType w:fmt="numberInDash"/>
          <w:cols w:space="720" w:num="1"/>
          <w:docGrid w:linePitch="312" w:charSpace="0"/>
        </w:sectPr>
      </w:pPr>
    </w:p>
    <w:tbl>
      <w:tblPr>
        <w:tblStyle w:val="6"/>
        <w:tblW w:w="1423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240"/>
        <w:gridCol w:w="5274"/>
        <w:gridCol w:w="712"/>
        <w:gridCol w:w="1957"/>
        <w:gridCol w:w="712"/>
        <w:gridCol w:w="1245"/>
        <w:gridCol w:w="770"/>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blHeader/>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项目</w:t>
            </w:r>
          </w:p>
        </w:tc>
        <w:tc>
          <w:tcPr>
            <w:tcW w:w="12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评估内容</w:t>
            </w:r>
          </w:p>
        </w:tc>
        <w:tc>
          <w:tcPr>
            <w:tcW w:w="52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评估标准</w:t>
            </w:r>
          </w:p>
        </w:tc>
        <w:tc>
          <w:tcPr>
            <w:tcW w:w="7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分值</w:t>
            </w:r>
          </w:p>
        </w:tc>
        <w:tc>
          <w:tcPr>
            <w:tcW w:w="19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检查内容与方法</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自检</w:t>
            </w:r>
          </w:p>
        </w:tc>
        <w:tc>
          <w:tcPr>
            <w:tcW w:w="195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blHead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52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9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评分</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扣分理由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rPr>
        <w:tc>
          <w:tcPr>
            <w:tcW w:w="1136"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师生权益保障</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15分</w:t>
            </w:r>
          </w:p>
        </w:tc>
        <w:tc>
          <w:tcPr>
            <w:tcW w:w="1240"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学生权益</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5分</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（职成教科）</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爱护学生，尊重学生人格，无体罚或变相体罚学生的现象。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调查访问。</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136"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4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52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学生入学后提出退学的，学校应按相关规定，及时办理退学、退费手续。</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调查访问。</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3" w:hRule="atLeast"/>
        </w:trPr>
        <w:tc>
          <w:tcPr>
            <w:tcW w:w="11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招生</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管理</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5分</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招生宣传3分</w:t>
            </w:r>
          </w:p>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（职成教科）</w:t>
            </w:r>
          </w:p>
        </w:tc>
        <w:tc>
          <w:tcPr>
            <w:tcW w:w="52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发布招生广告和简章应客观、真实、准确载明学校全称、学校性质、培训项目、培训目标、办学层次、办学形式、办学地址、收费标准、证明发放等有关内容。发布前到教育局备案。培训机构发布的招生广告和简章应与向审批机关审查备案的材料相一致，同时刊登广告备案号。</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3</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cs="宋体"/>
                <w:kern w:val="0"/>
                <w:sz w:val="24"/>
              </w:rPr>
            </w:pPr>
            <w:r>
              <w:rPr>
                <w:rFonts w:hint="eastAsia" w:ascii="仿宋_GB2312" w:hAnsi="宋体" w:eastAsia="仿宋_GB2312" w:cs="宋体"/>
                <w:kern w:val="0"/>
                <w:sz w:val="24"/>
              </w:rPr>
              <w:t>查看资料。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trPr>
        <w:tc>
          <w:tcPr>
            <w:tcW w:w="10319"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总分值</w:t>
            </w: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A696B"/>
    <w:rsid w:val="17FA696B"/>
    <w:rsid w:val="7C95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line="24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5">
    <w:name w:val="Hyperlink"/>
    <w:basedOn w:val="4"/>
    <w:qFormat/>
    <w:uiPriority w:val="0"/>
    <w:rPr>
      <w:color w:val="4444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2019-01-07T07:05:00Z</dcterms:created>
  <dc:creator>Z</dc:creator>
  <cp:lastModifiedBy>Z</cp:lastModifiedBy>
  <dcterms:modified xsi:type="dcterms:W3CDTF">2019-01-07T07:06:35Z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