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7" w:rsidRPr="007D3337" w:rsidRDefault="00CA58B1" w:rsidP="008A38DA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宁波市政府信息主动公开目录清单（北仑区</w:t>
      </w:r>
      <w:r w:rsidR="004E5266">
        <w:rPr>
          <w:rFonts w:ascii="黑体" w:eastAsia="黑体" w:hAnsi="黑体" w:cstheme="minorBidi" w:hint="eastAsia"/>
          <w:sz w:val="44"/>
          <w:szCs w:val="44"/>
        </w:rPr>
        <w:t>应急管理</w:t>
      </w:r>
      <w:r w:rsidR="00247DF9">
        <w:rPr>
          <w:rFonts w:ascii="黑体" w:eastAsia="黑体" w:hAnsi="黑体" w:cstheme="minorBidi" w:hint="eastAsia"/>
          <w:sz w:val="44"/>
          <w:szCs w:val="44"/>
        </w:rPr>
        <w:t>局</w:t>
      </w:r>
      <w:r w:rsidR="007D3337" w:rsidRPr="007D3337">
        <w:rPr>
          <w:rFonts w:ascii="黑体" w:eastAsia="黑体" w:hAnsi="黑体" w:cstheme="minorBidi" w:hint="eastAsia"/>
          <w:sz w:val="44"/>
          <w:szCs w:val="44"/>
        </w:rPr>
        <w:t>）</w:t>
      </w:r>
    </w:p>
    <w:tbl>
      <w:tblPr>
        <w:tblStyle w:val="a5"/>
        <w:tblW w:w="15608" w:type="dxa"/>
        <w:tblInd w:w="-714" w:type="dxa"/>
        <w:tblLook w:val="04A0"/>
      </w:tblPr>
      <w:tblGrid>
        <w:gridCol w:w="1089"/>
        <w:gridCol w:w="1099"/>
        <w:gridCol w:w="2867"/>
        <w:gridCol w:w="2066"/>
        <w:gridCol w:w="1287"/>
        <w:gridCol w:w="1239"/>
        <w:gridCol w:w="2990"/>
        <w:gridCol w:w="1255"/>
        <w:gridCol w:w="1716"/>
      </w:tblGrid>
      <w:tr w:rsidR="00730BD9" w:rsidRPr="00993677" w:rsidTr="004E5266">
        <w:tc>
          <w:tcPr>
            <w:tcW w:w="1120" w:type="dxa"/>
            <w:vAlign w:val="center"/>
          </w:tcPr>
          <w:p w:rsidR="00993677" w:rsidRPr="00993677" w:rsidRDefault="00993677" w:rsidP="004136DB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2" w:type="dxa"/>
            <w:vAlign w:val="center"/>
          </w:tcPr>
          <w:p w:rsidR="00993677" w:rsidRPr="00993677" w:rsidRDefault="00993677" w:rsidP="004136DB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64" w:type="dxa"/>
            <w:vAlign w:val="center"/>
          </w:tcPr>
          <w:p w:rsidR="00993677" w:rsidRPr="00993677" w:rsidRDefault="00993677" w:rsidP="004136DB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15" w:type="dxa"/>
            <w:vAlign w:val="center"/>
          </w:tcPr>
          <w:p w:rsidR="00993677" w:rsidRPr="00993677" w:rsidRDefault="00993677" w:rsidP="004136DB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26" w:type="dxa"/>
            <w:vAlign w:val="center"/>
          </w:tcPr>
          <w:p w:rsidR="00993677" w:rsidRPr="00993677" w:rsidRDefault="00993677" w:rsidP="004136DB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68" w:type="dxa"/>
            <w:vAlign w:val="center"/>
          </w:tcPr>
          <w:p w:rsidR="00993677" w:rsidRPr="00993677" w:rsidRDefault="00993677" w:rsidP="004136DB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092" w:type="dxa"/>
            <w:vAlign w:val="center"/>
          </w:tcPr>
          <w:p w:rsidR="00993677" w:rsidRPr="00993677" w:rsidRDefault="00993677" w:rsidP="004136DB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85" w:type="dxa"/>
            <w:vAlign w:val="center"/>
          </w:tcPr>
          <w:p w:rsidR="00993677" w:rsidRPr="00993677" w:rsidRDefault="00993677" w:rsidP="004136DB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316" w:type="dxa"/>
            <w:vAlign w:val="center"/>
          </w:tcPr>
          <w:p w:rsidR="00993677" w:rsidRPr="00993677" w:rsidRDefault="00993677" w:rsidP="004136DB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3677"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247DF9" w:rsidTr="004E5266">
        <w:tc>
          <w:tcPr>
            <w:tcW w:w="1120" w:type="dxa"/>
            <w:vMerge w:val="restart"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2" w:type="dxa"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64" w:type="dxa"/>
            <w:vAlign w:val="center"/>
          </w:tcPr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15" w:type="dxa"/>
            <w:vMerge w:val="restart"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 w:rsidRPr="00993677"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26" w:type="dxa"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 w:val="restart"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相关信息形成或变更之日起</w:t>
            </w:r>
            <w:r w:rsidRPr="00993677"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 w:val="restart"/>
            <w:vAlign w:val="center"/>
          </w:tcPr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93677">
              <w:rPr>
                <w:rFonts w:hint="eastAsia"/>
                <w:sz w:val="20"/>
                <w:szCs w:val="20"/>
              </w:rPr>
              <w:t>政府网站</w:t>
            </w:r>
            <w:r w:rsidRPr="00993677">
              <w:rPr>
                <w:sz w:val="20"/>
                <w:szCs w:val="20"/>
              </w:rPr>
              <w:t xml:space="preserve">      □政府公报</w:t>
            </w:r>
          </w:p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□政务微博</w:t>
            </w:r>
            <w:r w:rsidRPr="00993677">
              <w:rPr>
                <w:sz w:val="20"/>
                <w:szCs w:val="20"/>
              </w:rPr>
              <w:t xml:space="preserve">      □政务微信</w:t>
            </w:r>
          </w:p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□移动客户端</w:t>
            </w:r>
            <w:r w:rsidRPr="00993677">
              <w:rPr>
                <w:sz w:val="20"/>
                <w:szCs w:val="20"/>
              </w:rPr>
              <w:t xml:space="preserve">    □微视</w:t>
            </w:r>
          </w:p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□手机短信推送</w:t>
            </w:r>
            <w:r w:rsidRPr="00993677">
              <w:rPr>
                <w:sz w:val="20"/>
                <w:szCs w:val="20"/>
              </w:rPr>
              <w:t xml:space="preserve">  □电视</w:t>
            </w:r>
          </w:p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□广播</w:t>
            </w:r>
            <w:r w:rsidRPr="00993677">
              <w:rPr>
                <w:sz w:val="20"/>
                <w:szCs w:val="20"/>
              </w:rPr>
              <w:t xml:space="preserve">          □报刊</w:t>
            </w:r>
          </w:p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□信息公告栏</w:t>
            </w:r>
            <w:r w:rsidRPr="00993677">
              <w:rPr>
                <w:sz w:val="20"/>
                <w:szCs w:val="20"/>
              </w:rPr>
              <w:t xml:space="preserve">    □电子信息屏</w:t>
            </w:r>
          </w:p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□便民服务中心</w:t>
            </w:r>
            <w:r w:rsidRPr="00993677">
              <w:rPr>
                <w:sz w:val="20"/>
                <w:szCs w:val="20"/>
              </w:rPr>
              <w:t xml:space="preserve">  □便民服务点（室）</w:t>
            </w:r>
          </w:p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□图书馆</w:t>
            </w:r>
            <w:r w:rsidRPr="00993677">
              <w:rPr>
                <w:sz w:val="20"/>
                <w:szCs w:val="20"/>
              </w:rPr>
              <w:t xml:space="preserve">         □档案馆</w:t>
            </w:r>
          </w:p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247DF9" w:rsidRPr="0071684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□预公开</w:t>
            </w:r>
          </w:p>
          <w:p w:rsidR="00247DF9" w:rsidRPr="0071684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16847">
              <w:rPr>
                <w:rFonts w:hint="eastAsia"/>
                <w:sz w:val="20"/>
                <w:szCs w:val="20"/>
              </w:rPr>
              <w:t>全文发布</w:t>
            </w:r>
          </w:p>
          <w:p w:rsidR="00247DF9" w:rsidRPr="0071684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47DF9" w:rsidRPr="0071684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□政策解读</w:t>
            </w:r>
          </w:p>
          <w:p w:rsidR="00247DF9" w:rsidRPr="0071684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□现场宣讲</w:t>
            </w:r>
          </w:p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716847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4E5266" w:rsidRPr="004E5266" w:rsidRDefault="004E5266" w:rsidP="004136DB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0574-89</w:t>
            </w:r>
            <w:r w:rsidR="00CA58B1">
              <w:rPr>
                <w:rFonts w:hint="eastAsia"/>
                <w:color w:val="000000"/>
                <w:kern w:val="0"/>
                <w:sz w:val="20"/>
                <w:szCs w:val="20"/>
              </w:rPr>
              <w:t>3834</w:t>
            </w:r>
            <w:r w:rsidR="009162BC"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  <w:r w:rsidRPr="004E5266">
              <w:rPr>
                <w:color w:val="000000"/>
                <w:kern w:val="0"/>
                <w:sz w:val="20"/>
                <w:szCs w:val="20"/>
              </w:rPr>
              <w:t>、13</w:t>
            </w:r>
            <w:r w:rsidR="00CA58B1">
              <w:rPr>
                <w:rFonts w:hint="eastAsia"/>
                <w:color w:val="000000"/>
                <w:kern w:val="0"/>
                <w:sz w:val="20"/>
                <w:szCs w:val="20"/>
              </w:rPr>
              <w:t>738469999</w:t>
            </w:r>
          </w:p>
          <w:p w:rsidR="00247DF9" w:rsidRPr="00993677" w:rsidRDefault="004E5266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12350</w:t>
            </w:r>
          </w:p>
        </w:tc>
      </w:tr>
      <w:tr w:rsidR="00247DF9" w:rsidTr="004E5266">
        <w:tc>
          <w:tcPr>
            <w:tcW w:w="1120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64" w:type="dxa"/>
            <w:vAlign w:val="center"/>
          </w:tcPr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15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47DF9" w:rsidRPr="00993677" w:rsidRDefault="00CA58B1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7DF9" w:rsidTr="004E5266">
        <w:tc>
          <w:tcPr>
            <w:tcW w:w="1120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64" w:type="dxa"/>
            <w:vAlign w:val="center"/>
          </w:tcPr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15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47DF9" w:rsidRPr="00993677" w:rsidRDefault="00CA58B1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7DF9" w:rsidTr="00F84532">
        <w:trPr>
          <w:trHeight w:val="479"/>
        </w:trPr>
        <w:tc>
          <w:tcPr>
            <w:tcW w:w="1120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64" w:type="dxa"/>
            <w:vAlign w:val="center"/>
          </w:tcPr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15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47DF9" w:rsidRPr="00993677" w:rsidRDefault="00CA58B1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7DF9" w:rsidTr="004E5266">
        <w:tc>
          <w:tcPr>
            <w:tcW w:w="1120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677"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64" w:type="dxa"/>
            <w:vAlign w:val="center"/>
          </w:tcPr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93677"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15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247DF9" w:rsidRPr="00993677" w:rsidRDefault="00CA58B1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7DF9" w:rsidTr="004E5266">
        <w:tc>
          <w:tcPr>
            <w:tcW w:w="1120" w:type="dxa"/>
            <w:vMerge w:val="restart"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2" w:type="dxa"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964" w:type="dxa"/>
            <w:vAlign w:val="center"/>
          </w:tcPr>
          <w:p w:rsidR="00247DF9" w:rsidRPr="009301FD" w:rsidRDefault="004E5266" w:rsidP="004136DB">
            <w:pPr>
              <w:spacing w:line="240" w:lineRule="auto"/>
              <w:rPr>
                <w:sz w:val="20"/>
                <w:szCs w:val="20"/>
              </w:rPr>
            </w:pPr>
            <w:r w:rsidRPr="004E5266">
              <w:rPr>
                <w:rFonts w:hint="eastAsia"/>
                <w:kern w:val="0"/>
                <w:sz w:val="20"/>
                <w:szCs w:val="20"/>
              </w:rPr>
              <w:t>国家和省、市有关应急体系建设、安全生产</w:t>
            </w:r>
            <w:r w:rsidR="000A4972">
              <w:rPr>
                <w:rFonts w:hint="eastAsia"/>
                <w:kern w:val="0"/>
                <w:sz w:val="20"/>
                <w:szCs w:val="20"/>
              </w:rPr>
              <w:t>类、自然灾害类等突发事件</w:t>
            </w:r>
            <w:r w:rsidRPr="004E5266">
              <w:rPr>
                <w:rFonts w:hint="eastAsia"/>
                <w:kern w:val="0"/>
                <w:sz w:val="20"/>
                <w:szCs w:val="20"/>
              </w:rPr>
              <w:t>和综合防灾减灾等方面的</w:t>
            </w:r>
            <w:r w:rsidR="00247DF9">
              <w:rPr>
                <w:rFonts w:hint="eastAsia"/>
                <w:kern w:val="0"/>
                <w:sz w:val="20"/>
                <w:szCs w:val="20"/>
              </w:rPr>
              <w:t>法律、法规和规章</w:t>
            </w:r>
          </w:p>
        </w:tc>
        <w:tc>
          <w:tcPr>
            <w:tcW w:w="2115" w:type="dxa"/>
            <w:vMerge w:val="restart"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26" w:type="dxa"/>
            <w:vAlign w:val="center"/>
          </w:tcPr>
          <w:p w:rsidR="00247DF9" w:rsidRPr="009301FD" w:rsidRDefault="00CA58B1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Merge w:val="restart"/>
            <w:vAlign w:val="center"/>
          </w:tcPr>
          <w:p w:rsidR="00247DF9" w:rsidRPr="00993677" w:rsidRDefault="00247DF9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相关信息形成或变更之日起</w:t>
            </w:r>
            <w:r w:rsidRPr="009301FD">
              <w:rPr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Align w:val="center"/>
          </w:tcPr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□政务微信</w:t>
            </w:r>
          </w:p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□微视</w:t>
            </w:r>
          </w:p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□电视</w:t>
            </w:r>
          </w:p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□报刊</w:t>
            </w:r>
          </w:p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□电子信息屏</w:t>
            </w:r>
          </w:p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□便民服务点</w:t>
            </w:r>
            <w:r w:rsidRPr="009301FD">
              <w:rPr>
                <w:sz w:val="20"/>
                <w:szCs w:val="20"/>
              </w:rPr>
              <w:lastRenderedPageBreak/>
              <w:t>（室）</w:t>
            </w:r>
          </w:p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>全文发布</w:t>
            </w:r>
          </w:p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□政策解读</w:t>
            </w:r>
          </w:p>
          <w:p w:rsidR="00247DF9" w:rsidRPr="009301FD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□现场宣讲</w:t>
            </w:r>
          </w:p>
          <w:p w:rsidR="00247DF9" w:rsidRPr="00993677" w:rsidRDefault="00247DF9" w:rsidP="004136DB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CA58B1" w:rsidRPr="004E5266" w:rsidRDefault="00CA58B1" w:rsidP="00CA58B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3834</w:t>
            </w:r>
            <w:r w:rsidR="009162BC"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  <w:r w:rsidRPr="004E5266">
              <w:rPr>
                <w:color w:val="000000"/>
                <w:kern w:val="0"/>
                <w:sz w:val="20"/>
                <w:szCs w:val="20"/>
              </w:rPr>
              <w:t>、13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738469999</w:t>
            </w:r>
          </w:p>
          <w:p w:rsidR="00247DF9" w:rsidRPr="00993677" w:rsidRDefault="00CA58B1" w:rsidP="00CA58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12350</w:t>
            </w:r>
          </w:p>
        </w:tc>
      </w:tr>
      <w:tr w:rsidR="00F84532" w:rsidTr="004E5266">
        <w:tc>
          <w:tcPr>
            <w:tcW w:w="1120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64" w:type="dxa"/>
            <w:vAlign w:val="center"/>
          </w:tcPr>
          <w:p w:rsidR="00F84532" w:rsidRPr="009301FD" w:rsidRDefault="000A4972" w:rsidP="00F845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有关</w:t>
            </w:r>
            <w:r w:rsidR="00F84532" w:rsidRPr="004E5266">
              <w:rPr>
                <w:rFonts w:hint="eastAsia"/>
                <w:kern w:val="0"/>
                <w:sz w:val="20"/>
                <w:szCs w:val="20"/>
              </w:rPr>
              <w:t>应急体系建设、</w:t>
            </w:r>
            <w:r w:rsidRPr="004E5266">
              <w:rPr>
                <w:rFonts w:hint="eastAsia"/>
                <w:kern w:val="0"/>
                <w:sz w:val="20"/>
                <w:szCs w:val="20"/>
              </w:rPr>
              <w:t>安全生产</w:t>
            </w:r>
            <w:r>
              <w:rPr>
                <w:rFonts w:hint="eastAsia"/>
                <w:kern w:val="0"/>
                <w:sz w:val="20"/>
                <w:szCs w:val="20"/>
              </w:rPr>
              <w:t>类、自然灾害类等突发事件</w:t>
            </w:r>
            <w:r w:rsidRPr="004E5266">
              <w:rPr>
                <w:rFonts w:hint="eastAsia"/>
                <w:kern w:val="0"/>
                <w:sz w:val="20"/>
                <w:szCs w:val="20"/>
              </w:rPr>
              <w:t>和</w:t>
            </w:r>
            <w:r w:rsidR="00F84532" w:rsidRPr="004E5266">
              <w:rPr>
                <w:rFonts w:hint="eastAsia"/>
                <w:kern w:val="0"/>
                <w:sz w:val="20"/>
                <w:szCs w:val="20"/>
              </w:rPr>
              <w:t>综合防灾减灾等方面的行政规范性文件</w:t>
            </w:r>
          </w:p>
        </w:tc>
        <w:tc>
          <w:tcPr>
            <w:tcW w:w="2115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F84532" w:rsidRPr="009301FD" w:rsidRDefault="00CA58B1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制定科</w:t>
            </w:r>
            <w:r w:rsidR="00F84532"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68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</w:t>
            </w:r>
            <w:r w:rsidRPr="00F84532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>政府公报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□政务微信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□微视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□电视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□报刊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□电子信息屏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□便民服务点（室）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532" w:rsidTr="004E5266">
        <w:tc>
          <w:tcPr>
            <w:tcW w:w="1120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其他政策文件</w:t>
            </w:r>
          </w:p>
        </w:tc>
        <w:tc>
          <w:tcPr>
            <w:tcW w:w="2964" w:type="dxa"/>
            <w:vAlign w:val="center"/>
          </w:tcPr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1445BC"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15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F84532" w:rsidRPr="009301FD" w:rsidRDefault="00CA58B1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制定科</w:t>
            </w:r>
            <w:r w:rsidR="00F84532"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68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□政务微信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□微视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□电视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□报刊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□电子信息屏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□便民服务点（室）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285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532" w:rsidTr="004E5266">
        <w:tc>
          <w:tcPr>
            <w:tcW w:w="1120" w:type="dxa"/>
            <w:vMerge w:val="restart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政府决策</w:t>
            </w:r>
          </w:p>
        </w:tc>
        <w:tc>
          <w:tcPr>
            <w:tcW w:w="1122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应急体系建设发展规划</w:t>
            </w:r>
          </w:p>
        </w:tc>
        <w:tc>
          <w:tcPr>
            <w:tcW w:w="2964" w:type="dxa"/>
            <w:vAlign w:val="center"/>
          </w:tcPr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规划全文</w:t>
            </w:r>
          </w:p>
        </w:tc>
        <w:tc>
          <w:tcPr>
            <w:tcW w:w="2115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Merge w:val="restart"/>
            <w:vAlign w:val="center"/>
          </w:tcPr>
          <w:p w:rsidR="00F84532" w:rsidRPr="00993677" w:rsidRDefault="00CA58B1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□政务微信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□微视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□电视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□报刊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□电子信息屏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□便民服务点（室）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□预公开</w:t>
            </w:r>
          </w:p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全文发布</w:t>
            </w:r>
          </w:p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□政策解读</w:t>
            </w:r>
          </w:p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□现场宣讲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CA58B1" w:rsidRPr="004E5266" w:rsidRDefault="00CA58B1" w:rsidP="00CA58B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0574-89</w:t>
            </w:r>
            <w:r w:rsidR="009162BC">
              <w:rPr>
                <w:rFonts w:hint="eastAsia"/>
                <w:color w:val="000000"/>
                <w:kern w:val="0"/>
                <w:sz w:val="20"/>
                <w:szCs w:val="20"/>
              </w:rPr>
              <w:t>383411</w:t>
            </w:r>
            <w:r w:rsidRPr="004E5266">
              <w:rPr>
                <w:color w:val="000000"/>
                <w:kern w:val="0"/>
                <w:sz w:val="20"/>
                <w:szCs w:val="20"/>
              </w:rPr>
              <w:t>、13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738469999</w:t>
            </w:r>
          </w:p>
          <w:p w:rsidR="00F84532" w:rsidRPr="00993677" w:rsidRDefault="00CA58B1" w:rsidP="00CA58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12350</w:t>
            </w:r>
          </w:p>
        </w:tc>
      </w:tr>
      <w:tr w:rsidR="004E5266" w:rsidTr="004E5266">
        <w:tc>
          <w:tcPr>
            <w:tcW w:w="1120" w:type="dxa"/>
            <w:vMerge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安全生产发展规划</w:t>
            </w:r>
          </w:p>
        </w:tc>
        <w:tc>
          <w:tcPr>
            <w:tcW w:w="2964" w:type="dxa"/>
            <w:vAlign w:val="center"/>
          </w:tcPr>
          <w:p w:rsidR="004E5266" w:rsidRDefault="004E5266" w:rsidP="004136DB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规划全文</w:t>
            </w:r>
          </w:p>
        </w:tc>
        <w:tc>
          <w:tcPr>
            <w:tcW w:w="2115" w:type="dxa"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Merge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4E5266" w:rsidRPr="00730BD9" w:rsidRDefault="004E5266" w:rsidP="004136DB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4E5266" w:rsidRPr="00730BD9" w:rsidRDefault="004E5266" w:rsidP="004136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4E5266" w:rsidRPr="004E5266" w:rsidRDefault="004E5266" w:rsidP="004136DB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E5266" w:rsidTr="004E5266">
        <w:tc>
          <w:tcPr>
            <w:tcW w:w="1120" w:type="dxa"/>
            <w:vMerge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综合防灾减灾发展规划</w:t>
            </w:r>
          </w:p>
        </w:tc>
        <w:tc>
          <w:tcPr>
            <w:tcW w:w="2964" w:type="dxa"/>
            <w:vAlign w:val="center"/>
          </w:tcPr>
          <w:p w:rsidR="004E5266" w:rsidRDefault="004E5266" w:rsidP="004136DB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规划全文</w:t>
            </w:r>
          </w:p>
        </w:tc>
        <w:tc>
          <w:tcPr>
            <w:tcW w:w="2115" w:type="dxa"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Merge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4E5266" w:rsidRPr="00730BD9" w:rsidRDefault="004E5266" w:rsidP="004136DB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4E5266" w:rsidRPr="00730BD9" w:rsidRDefault="004E5266" w:rsidP="004136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4E5266" w:rsidRPr="004E5266" w:rsidRDefault="004E5266" w:rsidP="004136DB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E5266" w:rsidTr="004E5266">
        <w:tc>
          <w:tcPr>
            <w:tcW w:w="1120" w:type="dxa"/>
            <w:vMerge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其他专项规划</w:t>
            </w:r>
          </w:p>
        </w:tc>
        <w:tc>
          <w:tcPr>
            <w:tcW w:w="2964" w:type="dxa"/>
            <w:vAlign w:val="center"/>
          </w:tcPr>
          <w:p w:rsidR="004E5266" w:rsidRDefault="004E5266" w:rsidP="004136DB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规划全文</w:t>
            </w:r>
          </w:p>
        </w:tc>
        <w:tc>
          <w:tcPr>
            <w:tcW w:w="2115" w:type="dxa"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Merge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4E5266" w:rsidRPr="00730BD9" w:rsidRDefault="004E5266" w:rsidP="004136DB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4E5266" w:rsidRPr="00730BD9" w:rsidRDefault="004E5266" w:rsidP="004136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4E5266" w:rsidRPr="004E5266" w:rsidRDefault="004E5266" w:rsidP="004136DB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E5266" w:rsidTr="004E5266">
        <w:tc>
          <w:tcPr>
            <w:tcW w:w="1120" w:type="dxa"/>
            <w:vMerge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重大建设项目</w:t>
            </w:r>
          </w:p>
        </w:tc>
        <w:tc>
          <w:tcPr>
            <w:tcW w:w="2964" w:type="dxa"/>
            <w:vAlign w:val="center"/>
          </w:tcPr>
          <w:p w:rsidR="004E5266" w:rsidRDefault="004E5266" w:rsidP="004136DB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重大建设项目批准和实施情况</w:t>
            </w:r>
          </w:p>
        </w:tc>
        <w:tc>
          <w:tcPr>
            <w:tcW w:w="2115" w:type="dxa"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font21"/>
              </w:rPr>
              <w:t>711</w:t>
            </w:r>
            <w:r>
              <w:rPr>
                <w:rStyle w:val="font21"/>
                <w:rFonts w:hint="eastAsia"/>
              </w:rPr>
              <w:t>号）</w:t>
            </w:r>
          </w:p>
        </w:tc>
        <w:tc>
          <w:tcPr>
            <w:tcW w:w="1326" w:type="dxa"/>
            <w:vAlign w:val="center"/>
          </w:tcPr>
          <w:p w:rsidR="004E5266" w:rsidRDefault="00CA58B1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危化科</w:t>
            </w:r>
          </w:p>
        </w:tc>
        <w:tc>
          <w:tcPr>
            <w:tcW w:w="1268" w:type="dxa"/>
            <w:vAlign w:val="center"/>
          </w:tcPr>
          <w:p w:rsidR="004E5266" w:rsidRDefault="004E5266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4E5266" w:rsidRPr="00730BD9" w:rsidRDefault="004E5266" w:rsidP="004136DB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4E5266" w:rsidRPr="00730BD9" w:rsidRDefault="004E5266" w:rsidP="004136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4E5266" w:rsidRPr="004E5266" w:rsidRDefault="004E5266" w:rsidP="004136DB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84532" w:rsidTr="004E5266">
        <w:trPr>
          <w:trHeight w:val="983"/>
        </w:trPr>
        <w:tc>
          <w:tcPr>
            <w:tcW w:w="1120" w:type="dxa"/>
            <w:vMerge w:val="restart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2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64" w:type="dxa"/>
            <w:vAlign w:val="center"/>
          </w:tcPr>
          <w:p w:rsidR="00F84532" w:rsidRPr="00993677" w:rsidRDefault="000A4972" w:rsidP="00F845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由区应急管理答复的、应当公开的区人大代表建议复文和区</w:t>
            </w:r>
            <w:r w:rsidR="00F84532">
              <w:rPr>
                <w:rFonts w:hint="eastAsia"/>
                <w:kern w:val="0"/>
                <w:sz w:val="20"/>
                <w:szCs w:val="20"/>
              </w:rPr>
              <w:t>政协委员提案复文</w:t>
            </w:r>
          </w:p>
        </w:tc>
        <w:tc>
          <w:tcPr>
            <w:tcW w:w="2115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F84532" w:rsidRPr="00730BD9" w:rsidRDefault="00CA58B1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相关科</w:t>
            </w:r>
            <w:r w:rsidR="00F84532"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68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092" w:type="dxa"/>
            <w:vMerge w:val="restart"/>
            <w:vAlign w:val="center"/>
          </w:tcPr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□政务微信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□微视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□电视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□报刊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□电子信息</w:t>
            </w:r>
            <w:r w:rsidRPr="009301FD">
              <w:rPr>
                <w:sz w:val="20"/>
                <w:szCs w:val="20"/>
              </w:rPr>
              <w:lastRenderedPageBreak/>
              <w:t>屏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□便民服务点（室）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全文发布</w:t>
            </w:r>
          </w:p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□政策解读</w:t>
            </w:r>
          </w:p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□现场宣讲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CA58B1" w:rsidRPr="004E5266" w:rsidRDefault="00CA58B1" w:rsidP="00CA58B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咨询电话：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0574-89</w:t>
            </w:r>
            <w:r w:rsidR="009162BC">
              <w:rPr>
                <w:rFonts w:hint="eastAsia"/>
                <w:color w:val="000000"/>
                <w:kern w:val="0"/>
                <w:sz w:val="20"/>
                <w:szCs w:val="20"/>
              </w:rPr>
              <w:t>383411</w:t>
            </w:r>
            <w:r w:rsidRPr="004E5266">
              <w:rPr>
                <w:color w:val="000000"/>
                <w:kern w:val="0"/>
                <w:sz w:val="20"/>
                <w:szCs w:val="20"/>
              </w:rPr>
              <w:t>、13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738469999</w:t>
            </w:r>
          </w:p>
          <w:p w:rsidR="00F84532" w:rsidRPr="00993677" w:rsidRDefault="00CA58B1" w:rsidP="00CA58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12350</w:t>
            </w:r>
          </w:p>
        </w:tc>
      </w:tr>
      <w:tr w:rsidR="0095651A" w:rsidTr="004E5266">
        <w:tc>
          <w:tcPr>
            <w:tcW w:w="1120" w:type="dxa"/>
            <w:vMerge/>
            <w:vAlign w:val="center"/>
          </w:tcPr>
          <w:p w:rsidR="0095651A" w:rsidRPr="00993677" w:rsidRDefault="0095651A" w:rsidP="009565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95651A" w:rsidRPr="00993677" w:rsidRDefault="0095651A" w:rsidP="0095651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其他工作信息</w:t>
            </w:r>
          </w:p>
        </w:tc>
        <w:tc>
          <w:tcPr>
            <w:tcW w:w="2964" w:type="dxa"/>
            <w:vAlign w:val="center"/>
          </w:tcPr>
          <w:p w:rsidR="0095651A" w:rsidRPr="00993677" w:rsidRDefault="000A4972" w:rsidP="000A49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区</w:t>
            </w:r>
            <w:r w:rsidR="0095651A">
              <w:rPr>
                <w:rFonts w:cs="Times New Roman" w:hint="eastAsia"/>
                <w:sz w:val="20"/>
                <w:szCs w:val="20"/>
              </w:rPr>
              <w:t>安委会成员单位</w:t>
            </w:r>
            <w:bookmarkStart w:id="0" w:name="_GoBack"/>
            <w:bookmarkEnd w:id="0"/>
            <w:r w:rsidR="0095651A">
              <w:rPr>
                <w:rFonts w:cs="Times New Roman" w:hint="eastAsia"/>
                <w:sz w:val="20"/>
                <w:szCs w:val="20"/>
              </w:rPr>
              <w:t>及安委办工作信息</w:t>
            </w:r>
          </w:p>
        </w:tc>
        <w:tc>
          <w:tcPr>
            <w:tcW w:w="2115" w:type="dxa"/>
            <w:vAlign w:val="center"/>
          </w:tcPr>
          <w:p w:rsidR="0095651A" w:rsidRPr="00993677" w:rsidRDefault="0095651A" w:rsidP="0095651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95651A" w:rsidRPr="00730BD9" w:rsidRDefault="0095651A" w:rsidP="0095651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 w:rsidR="0095651A" w:rsidRPr="00730BD9" w:rsidRDefault="0095651A" w:rsidP="0095651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95651A" w:rsidRPr="00993677" w:rsidRDefault="0095651A" w:rsidP="0095651A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95651A" w:rsidRPr="00993677" w:rsidRDefault="0095651A" w:rsidP="009565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95651A" w:rsidRPr="00993677" w:rsidRDefault="0095651A" w:rsidP="009565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532" w:rsidTr="004E5266">
        <w:tc>
          <w:tcPr>
            <w:tcW w:w="1120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84532" w:rsidRDefault="00F84532" w:rsidP="00F8453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2964" w:type="dxa"/>
            <w:vAlign w:val="center"/>
          </w:tcPr>
          <w:p w:rsidR="00F84532" w:rsidRDefault="000A4972" w:rsidP="00F84532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以区</w:t>
            </w:r>
            <w:r w:rsidR="00F84532">
              <w:rPr>
                <w:rFonts w:hint="eastAsia"/>
                <w:kern w:val="0"/>
                <w:sz w:val="20"/>
                <w:szCs w:val="20"/>
              </w:rPr>
              <w:t>安委会、消安委、防汛</w:t>
            </w:r>
            <w:r>
              <w:rPr>
                <w:rFonts w:hint="eastAsia"/>
                <w:kern w:val="0"/>
                <w:sz w:val="20"/>
                <w:szCs w:val="20"/>
              </w:rPr>
              <w:t>抗旱指挥部、减灾委员会、防震减灾工作领导小组、森林消防指挥部等区</w:t>
            </w:r>
            <w:r w:rsidR="00F84532">
              <w:rPr>
                <w:rFonts w:hint="eastAsia"/>
                <w:kern w:val="0"/>
                <w:sz w:val="20"/>
                <w:szCs w:val="20"/>
              </w:rPr>
              <w:t>级议事协调机构以及应急管理局印发的各类通知公告</w:t>
            </w:r>
          </w:p>
        </w:tc>
        <w:tc>
          <w:tcPr>
            <w:tcW w:w="2115" w:type="dxa"/>
            <w:vAlign w:val="center"/>
          </w:tcPr>
          <w:p w:rsidR="00F84532" w:rsidRDefault="00F84532" w:rsidP="00F8453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font21"/>
              </w:rPr>
              <w:t>711</w:t>
            </w:r>
            <w:r>
              <w:rPr>
                <w:rStyle w:val="font21"/>
                <w:rFonts w:hint="eastAsia"/>
              </w:rPr>
              <w:t>号）</w:t>
            </w:r>
          </w:p>
        </w:tc>
        <w:tc>
          <w:tcPr>
            <w:tcW w:w="1326" w:type="dxa"/>
            <w:vAlign w:val="center"/>
          </w:tcPr>
          <w:p w:rsidR="00F84532" w:rsidRDefault="00CA58B1" w:rsidP="00F8453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制定科</w:t>
            </w:r>
            <w:r w:rsidR="00F84532">
              <w:rPr>
                <w:rFonts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268" w:type="dxa"/>
            <w:vAlign w:val="center"/>
          </w:tcPr>
          <w:p w:rsidR="00F84532" w:rsidRDefault="00F84532" w:rsidP="00F8453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□政务微信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□微视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□电视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□报刊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□电子信息屏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□便民服务点（室）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:rsidR="00F84532" w:rsidRPr="00993677" w:rsidRDefault="00F84532" w:rsidP="00F8453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36DB" w:rsidTr="004E5266">
        <w:tc>
          <w:tcPr>
            <w:tcW w:w="1120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136DB" w:rsidRDefault="004136DB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64" w:type="dxa"/>
            <w:vAlign w:val="center"/>
          </w:tcPr>
          <w:p w:rsidR="004136DB" w:rsidRDefault="000A4972" w:rsidP="004136DB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以区</w:t>
            </w:r>
            <w:r w:rsidR="004136DB">
              <w:rPr>
                <w:rFonts w:hint="eastAsia"/>
                <w:kern w:val="0"/>
                <w:sz w:val="20"/>
                <w:szCs w:val="20"/>
              </w:rPr>
              <w:t>应急管理局印发的各类通知公告</w:t>
            </w:r>
          </w:p>
        </w:tc>
        <w:tc>
          <w:tcPr>
            <w:tcW w:w="2115" w:type="dxa"/>
            <w:vAlign w:val="center"/>
          </w:tcPr>
          <w:p w:rsidR="004136DB" w:rsidRDefault="004136DB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font21"/>
              </w:rPr>
              <w:t>711</w:t>
            </w:r>
            <w:r>
              <w:rPr>
                <w:rStyle w:val="font21"/>
                <w:rFonts w:hint="eastAsia"/>
              </w:rPr>
              <w:t>号）</w:t>
            </w:r>
          </w:p>
        </w:tc>
        <w:tc>
          <w:tcPr>
            <w:tcW w:w="1326" w:type="dxa"/>
            <w:vAlign w:val="center"/>
          </w:tcPr>
          <w:p w:rsidR="004136DB" w:rsidRDefault="00CA58B1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办公</w:t>
            </w:r>
            <w:r w:rsidR="004136DB">
              <w:rPr>
                <w:rFonts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268" w:type="dxa"/>
            <w:vAlign w:val="center"/>
          </w:tcPr>
          <w:p w:rsidR="004136DB" w:rsidRDefault="004136DB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36DB" w:rsidTr="004E5266">
        <w:tc>
          <w:tcPr>
            <w:tcW w:w="1120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136DB" w:rsidRPr="00730BD9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预测预警</w:t>
            </w:r>
          </w:p>
        </w:tc>
        <w:tc>
          <w:tcPr>
            <w:tcW w:w="2964" w:type="dxa"/>
            <w:vAlign w:val="center"/>
          </w:tcPr>
          <w:p w:rsidR="004136DB" w:rsidRPr="00730BD9" w:rsidRDefault="004136DB" w:rsidP="004136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各类自然灾害预测预警信息</w:t>
            </w:r>
          </w:p>
        </w:tc>
        <w:tc>
          <w:tcPr>
            <w:tcW w:w="2115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font21"/>
              </w:rPr>
              <w:t>711</w:t>
            </w:r>
            <w:r>
              <w:rPr>
                <w:rStyle w:val="font21"/>
                <w:rFonts w:hint="eastAsia"/>
              </w:rPr>
              <w:t>号）</w:t>
            </w:r>
          </w:p>
        </w:tc>
        <w:tc>
          <w:tcPr>
            <w:tcW w:w="1326" w:type="dxa"/>
            <w:vAlign w:val="center"/>
          </w:tcPr>
          <w:p w:rsidR="004136DB" w:rsidRPr="00730BD9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应急指挥中心</w:t>
            </w:r>
          </w:p>
        </w:tc>
        <w:tc>
          <w:tcPr>
            <w:tcW w:w="1268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36DB" w:rsidTr="004E5266">
        <w:tc>
          <w:tcPr>
            <w:tcW w:w="1120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136DB" w:rsidRPr="00730BD9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应急救援</w:t>
            </w:r>
          </w:p>
        </w:tc>
        <w:tc>
          <w:tcPr>
            <w:tcW w:w="2964" w:type="dxa"/>
            <w:vAlign w:val="center"/>
          </w:tcPr>
          <w:p w:rsidR="004136DB" w:rsidRPr="00730BD9" w:rsidRDefault="004136DB" w:rsidP="004136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安全生产类、自然灾害类应急救援工作</w:t>
            </w:r>
          </w:p>
        </w:tc>
        <w:tc>
          <w:tcPr>
            <w:tcW w:w="2115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font21"/>
              </w:rPr>
              <w:t>711</w:t>
            </w:r>
            <w:r>
              <w:rPr>
                <w:rStyle w:val="font21"/>
                <w:rFonts w:hint="eastAsia"/>
              </w:rPr>
              <w:t>号）</w:t>
            </w:r>
          </w:p>
        </w:tc>
        <w:tc>
          <w:tcPr>
            <w:tcW w:w="1326" w:type="dxa"/>
            <w:vAlign w:val="center"/>
          </w:tcPr>
          <w:p w:rsidR="004136DB" w:rsidRDefault="004136DB" w:rsidP="004136DB">
            <w:pPr>
              <w:widowControl/>
              <w:spacing w:line="240" w:lineRule="auto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应急指挥中心</w:t>
            </w:r>
          </w:p>
          <w:p w:rsidR="004136DB" w:rsidRPr="00730BD9" w:rsidRDefault="004136DB" w:rsidP="00CA58B1"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防汛抗旱与减灾救灾</w:t>
            </w:r>
            <w:r w:rsidR="00CA58B1">
              <w:rPr>
                <w:rFonts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1268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532" w:rsidTr="004E5266">
        <w:tc>
          <w:tcPr>
            <w:tcW w:w="1120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F84532" w:rsidRPr="00730BD9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应急预案</w:t>
            </w:r>
          </w:p>
        </w:tc>
        <w:tc>
          <w:tcPr>
            <w:tcW w:w="2964" w:type="dxa"/>
            <w:vAlign w:val="center"/>
          </w:tcPr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安全生产类、自然灾害类专项预案及各类应急预案全文</w:t>
            </w:r>
          </w:p>
        </w:tc>
        <w:tc>
          <w:tcPr>
            <w:tcW w:w="2115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font21"/>
              </w:rPr>
              <w:t>711</w:t>
            </w:r>
            <w:r>
              <w:rPr>
                <w:rStyle w:val="font21"/>
                <w:rFonts w:hint="eastAsia"/>
              </w:rPr>
              <w:t>号）</w:t>
            </w:r>
          </w:p>
        </w:tc>
        <w:tc>
          <w:tcPr>
            <w:tcW w:w="1326" w:type="dxa"/>
            <w:vAlign w:val="center"/>
          </w:tcPr>
          <w:p w:rsidR="00F84532" w:rsidRPr="00730BD9" w:rsidRDefault="00CA58B1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制定科</w:t>
            </w:r>
            <w:r w:rsidR="00F84532">
              <w:rPr>
                <w:rFonts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268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□政务微信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□微视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lastRenderedPageBreak/>
              <w:t>□手机短信推送</w:t>
            </w:r>
            <w:r w:rsidRPr="009301FD">
              <w:rPr>
                <w:sz w:val="20"/>
                <w:szCs w:val="20"/>
              </w:rPr>
              <w:t xml:space="preserve">  □电视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□报刊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□电子信息屏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□便民服务点（室）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:rsidR="00F84532" w:rsidRPr="00993677" w:rsidRDefault="00F84532" w:rsidP="00F8453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730BD9">
              <w:rPr>
                <w:sz w:val="20"/>
                <w:szCs w:val="20"/>
              </w:rPr>
              <w:t>全文发布</w:t>
            </w:r>
          </w:p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□脱密（脱</w:t>
            </w:r>
            <w:r w:rsidRPr="00730BD9">
              <w:rPr>
                <w:rFonts w:hint="eastAsia"/>
                <w:sz w:val="20"/>
                <w:szCs w:val="20"/>
              </w:rPr>
              <w:lastRenderedPageBreak/>
              <w:t>敏）公开</w:t>
            </w:r>
          </w:p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□政策解读</w:t>
            </w:r>
          </w:p>
          <w:p w:rsidR="00F84532" w:rsidRPr="00730BD9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□现场宣讲</w:t>
            </w:r>
          </w:p>
          <w:p w:rsidR="00F84532" w:rsidRPr="00993677" w:rsidRDefault="00F84532" w:rsidP="00F8453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30BD9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36DB" w:rsidTr="004E5266">
        <w:trPr>
          <w:trHeight w:val="1737"/>
        </w:trPr>
        <w:tc>
          <w:tcPr>
            <w:tcW w:w="1120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136DB" w:rsidRPr="00730BD9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统计分析</w:t>
            </w:r>
          </w:p>
        </w:tc>
        <w:tc>
          <w:tcPr>
            <w:tcW w:w="2964" w:type="dxa"/>
            <w:vAlign w:val="center"/>
          </w:tcPr>
          <w:p w:rsidR="004136DB" w:rsidRPr="00730BD9" w:rsidRDefault="000A4972" w:rsidP="004136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以区</w:t>
            </w:r>
            <w:r w:rsidR="004136DB">
              <w:rPr>
                <w:rFonts w:hint="eastAsia"/>
                <w:kern w:val="0"/>
                <w:sz w:val="20"/>
                <w:szCs w:val="20"/>
              </w:rPr>
              <w:t>安委会、消安委、防汛</w:t>
            </w:r>
            <w:r w:rsidR="004008E9">
              <w:rPr>
                <w:rFonts w:hint="eastAsia"/>
                <w:kern w:val="0"/>
                <w:sz w:val="20"/>
                <w:szCs w:val="20"/>
              </w:rPr>
              <w:t>抗旱指挥部、减灾委员会、防震减灾工作领导小组、森林</w:t>
            </w:r>
            <w:r>
              <w:rPr>
                <w:rFonts w:hint="eastAsia"/>
                <w:kern w:val="0"/>
                <w:sz w:val="20"/>
                <w:szCs w:val="20"/>
              </w:rPr>
              <w:t>防</w:t>
            </w:r>
            <w:r w:rsidR="004008E9">
              <w:rPr>
                <w:rFonts w:hint="eastAsia"/>
                <w:kern w:val="0"/>
                <w:sz w:val="20"/>
                <w:szCs w:val="20"/>
              </w:rPr>
              <w:t>灭火</w:t>
            </w:r>
            <w:r>
              <w:rPr>
                <w:rFonts w:hint="eastAsia"/>
                <w:kern w:val="0"/>
                <w:sz w:val="20"/>
                <w:szCs w:val="20"/>
              </w:rPr>
              <w:t>指挥部等区</w:t>
            </w:r>
            <w:r w:rsidR="004136DB">
              <w:rPr>
                <w:rFonts w:hint="eastAsia"/>
                <w:kern w:val="0"/>
                <w:sz w:val="20"/>
                <w:szCs w:val="20"/>
              </w:rPr>
              <w:t>级议事协调机构名义进行的各类统计分析</w:t>
            </w:r>
          </w:p>
        </w:tc>
        <w:tc>
          <w:tcPr>
            <w:tcW w:w="2115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font21"/>
              </w:rPr>
              <w:t>711</w:t>
            </w:r>
            <w:r>
              <w:rPr>
                <w:rStyle w:val="font21"/>
                <w:rFonts w:hint="eastAsia"/>
              </w:rPr>
              <w:t>号）</w:t>
            </w:r>
          </w:p>
        </w:tc>
        <w:tc>
          <w:tcPr>
            <w:tcW w:w="1326" w:type="dxa"/>
            <w:vAlign w:val="center"/>
          </w:tcPr>
          <w:p w:rsidR="004136DB" w:rsidRPr="00730BD9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应急指挥中心</w:t>
            </w:r>
          </w:p>
        </w:tc>
        <w:tc>
          <w:tcPr>
            <w:tcW w:w="1268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36DB" w:rsidTr="004E5266">
        <w:trPr>
          <w:trHeight w:val="1737"/>
        </w:trPr>
        <w:tc>
          <w:tcPr>
            <w:tcW w:w="1120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136DB" w:rsidRDefault="004136DB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隐患排查治理统计分析</w:t>
            </w:r>
          </w:p>
        </w:tc>
        <w:tc>
          <w:tcPr>
            <w:tcW w:w="2964" w:type="dxa"/>
            <w:vAlign w:val="center"/>
          </w:tcPr>
          <w:p w:rsidR="004136DB" w:rsidRDefault="004136DB" w:rsidP="004136DB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与隐患排查治理相关的各类统计分析</w:t>
            </w:r>
          </w:p>
        </w:tc>
        <w:tc>
          <w:tcPr>
            <w:tcW w:w="2115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font21"/>
              </w:rPr>
              <w:t>711</w:t>
            </w:r>
            <w:r>
              <w:rPr>
                <w:rStyle w:val="font21"/>
                <w:rFonts w:hint="eastAsia"/>
              </w:rPr>
              <w:t>号）</w:t>
            </w:r>
          </w:p>
        </w:tc>
        <w:tc>
          <w:tcPr>
            <w:tcW w:w="1326" w:type="dxa"/>
            <w:vAlign w:val="center"/>
          </w:tcPr>
          <w:p w:rsidR="004136DB" w:rsidRDefault="00CA58B1" w:rsidP="004136DB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综合</w:t>
            </w:r>
            <w:r w:rsidR="004136DB">
              <w:rPr>
                <w:rFonts w:hint="eastAsia"/>
                <w:color w:val="000000"/>
                <w:kern w:val="0"/>
                <w:sz w:val="20"/>
                <w:szCs w:val="20"/>
              </w:rPr>
              <w:t>协调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268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Style w:val="font21"/>
                <w:rFonts w:hAnsi="Calibri"/>
              </w:rPr>
              <w:t>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4136DB" w:rsidRPr="00730BD9" w:rsidRDefault="004136DB" w:rsidP="004136DB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4136DB" w:rsidRPr="00730BD9" w:rsidRDefault="004136DB" w:rsidP="004136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36DB" w:rsidTr="004E5266">
        <w:tc>
          <w:tcPr>
            <w:tcW w:w="1120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136DB" w:rsidRPr="00730BD9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监管工作</w:t>
            </w:r>
          </w:p>
        </w:tc>
        <w:tc>
          <w:tcPr>
            <w:tcW w:w="2964" w:type="dxa"/>
            <w:vAlign w:val="center"/>
          </w:tcPr>
          <w:p w:rsidR="004136DB" w:rsidRPr="00730BD9" w:rsidRDefault="004136DB" w:rsidP="004136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消防、石油、化工、医药、危险化学品和非煤矿山（含地质勘探）、烟花爆竹、冶金、有色、建材、机械、轻工、纺织、烟草、商贸等安全生产监督管理工作</w:t>
            </w:r>
          </w:p>
        </w:tc>
        <w:tc>
          <w:tcPr>
            <w:tcW w:w="2115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font21"/>
              </w:rPr>
              <w:t>711</w:t>
            </w:r>
            <w:r>
              <w:rPr>
                <w:rStyle w:val="font21"/>
                <w:rFonts w:hint="eastAsia"/>
              </w:rPr>
              <w:t>号）</w:t>
            </w:r>
          </w:p>
        </w:tc>
        <w:tc>
          <w:tcPr>
            <w:tcW w:w="1326" w:type="dxa"/>
            <w:vAlign w:val="center"/>
          </w:tcPr>
          <w:p w:rsidR="004136DB" w:rsidRDefault="00CA58B1" w:rsidP="004136DB">
            <w:pPr>
              <w:widowControl/>
              <w:spacing w:line="240" w:lineRule="auto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危化科</w:t>
            </w:r>
          </w:p>
          <w:p w:rsidR="004136DB" w:rsidRPr="00730BD9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基础</w:t>
            </w:r>
            <w:r w:rsidR="00CA58B1">
              <w:rPr>
                <w:rFonts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268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20个工作日内</w:t>
            </w:r>
          </w:p>
        </w:tc>
        <w:tc>
          <w:tcPr>
            <w:tcW w:w="3092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532" w:rsidTr="004E5266">
        <w:tc>
          <w:tcPr>
            <w:tcW w:w="1120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2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64" w:type="dxa"/>
            <w:vAlign w:val="center"/>
          </w:tcPr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15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F84532" w:rsidRPr="00993677" w:rsidRDefault="00CA58B1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 w:rsidR="00F84532" w:rsidRPr="004C38BD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Align w:val="center"/>
          </w:tcPr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□政务微信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□微视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□电视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□报刊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□电子信息屏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□便民服务点</w:t>
            </w:r>
            <w:r w:rsidRPr="009301FD">
              <w:rPr>
                <w:sz w:val="20"/>
                <w:szCs w:val="20"/>
              </w:rPr>
              <w:lastRenderedPageBreak/>
              <w:t>（室）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4C38BD">
              <w:rPr>
                <w:sz w:val="20"/>
                <w:szCs w:val="20"/>
              </w:rPr>
              <w:t>全文发布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□政策解读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□现场宣讲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CA58B1" w:rsidRPr="004E5266" w:rsidRDefault="00CA58B1" w:rsidP="00CA58B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383406</w:t>
            </w:r>
            <w:r w:rsidRPr="004E5266">
              <w:rPr>
                <w:color w:val="000000"/>
                <w:kern w:val="0"/>
                <w:sz w:val="20"/>
                <w:szCs w:val="20"/>
              </w:rPr>
              <w:t>、13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738469999</w:t>
            </w:r>
          </w:p>
          <w:p w:rsidR="00F84532" w:rsidRPr="00993677" w:rsidRDefault="00CA58B1" w:rsidP="00CA58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12350</w:t>
            </w:r>
          </w:p>
        </w:tc>
      </w:tr>
      <w:tr w:rsidR="00F84532" w:rsidTr="004E5266">
        <w:tc>
          <w:tcPr>
            <w:tcW w:w="1120" w:type="dxa"/>
            <w:vMerge w:val="restart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财政信息</w:t>
            </w:r>
          </w:p>
        </w:tc>
        <w:tc>
          <w:tcPr>
            <w:tcW w:w="1122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64" w:type="dxa"/>
            <w:vAlign w:val="center"/>
          </w:tcPr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15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□政务微信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□微视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□电视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□报刊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□电子信息屏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□便民服务点（室）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□预公开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4C38BD">
              <w:rPr>
                <w:sz w:val="20"/>
                <w:szCs w:val="20"/>
              </w:rPr>
              <w:t>全文发布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□政策解读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□现场宣讲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CA58B1" w:rsidRPr="004E5266" w:rsidRDefault="00CA58B1" w:rsidP="00CA58B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383406</w:t>
            </w:r>
            <w:r w:rsidRPr="004E5266">
              <w:rPr>
                <w:color w:val="000000"/>
                <w:kern w:val="0"/>
                <w:sz w:val="20"/>
                <w:szCs w:val="20"/>
              </w:rPr>
              <w:t>、13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738469999</w:t>
            </w:r>
          </w:p>
          <w:p w:rsidR="00F84532" w:rsidRPr="00993677" w:rsidRDefault="00CA58B1" w:rsidP="00CA58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12350</w:t>
            </w:r>
          </w:p>
        </w:tc>
      </w:tr>
      <w:tr w:rsidR="004136DB" w:rsidTr="004E5266">
        <w:tc>
          <w:tcPr>
            <w:tcW w:w="1120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预决算公开平台</w:t>
            </w:r>
          </w:p>
        </w:tc>
        <w:tc>
          <w:tcPr>
            <w:tcW w:w="2964" w:type="dxa"/>
            <w:vAlign w:val="center"/>
          </w:tcPr>
          <w:p w:rsidR="004136DB" w:rsidRPr="00993677" w:rsidRDefault="004136DB" w:rsidP="004136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部门预算、部门决算</w:t>
            </w:r>
          </w:p>
        </w:tc>
        <w:tc>
          <w:tcPr>
            <w:tcW w:w="2115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532" w:rsidTr="004E5266">
        <w:tc>
          <w:tcPr>
            <w:tcW w:w="1120" w:type="dxa"/>
            <w:vMerge w:val="restart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2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64" w:type="dxa"/>
            <w:vAlign w:val="center"/>
          </w:tcPr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15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F84532" w:rsidRPr="00993677" w:rsidRDefault="00CA58B1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危化科</w:t>
            </w:r>
          </w:p>
        </w:tc>
        <w:tc>
          <w:tcPr>
            <w:tcW w:w="1268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□政务微信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□微视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□电视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□报刊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□电子信息屏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□便民服务点</w:t>
            </w:r>
            <w:r w:rsidRPr="009301FD">
              <w:rPr>
                <w:sz w:val="20"/>
                <w:szCs w:val="20"/>
              </w:rPr>
              <w:lastRenderedPageBreak/>
              <w:t>（室）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4C38BD">
              <w:rPr>
                <w:sz w:val="20"/>
                <w:szCs w:val="20"/>
              </w:rPr>
              <w:t>全文发布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□政策解读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□现场宣讲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CA58B1" w:rsidRPr="004E5266" w:rsidRDefault="00CA58B1" w:rsidP="00CA58B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383406</w:t>
            </w:r>
            <w:r w:rsidRPr="004E5266">
              <w:rPr>
                <w:color w:val="000000"/>
                <w:kern w:val="0"/>
                <w:sz w:val="20"/>
                <w:szCs w:val="20"/>
              </w:rPr>
              <w:t>、13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738469999</w:t>
            </w:r>
          </w:p>
          <w:p w:rsidR="00F84532" w:rsidRPr="00993677" w:rsidRDefault="00CA58B1" w:rsidP="00CA58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12350</w:t>
            </w:r>
          </w:p>
        </w:tc>
      </w:tr>
      <w:tr w:rsidR="004136DB" w:rsidTr="004E5266">
        <w:tc>
          <w:tcPr>
            <w:tcW w:w="1120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64" w:type="dxa"/>
            <w:vAlign w:val="center"/>
          </w:tcPr>
          <w:p w:rsidR="004136DB" w:rsidRPr="00993677" w:rsidRDefault="004136DB" w:rsidP="004136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15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4136DB" w:rsidRPr="00993677" w:rsidRDefault="00CA58B1" w:rsidP="00CA58B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作出处罚科室</w:t>
            </w:r>
          </w:p>
        </w:tc>
        <w:tc>
          <w:tcPr>
            <w:tcW w:w="1268" w:type="dxa"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4136DB" w:rsidRPr="00993677" w:rsidRDefault="004136DB" w:rsidP="004136D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4532" w:rsidTr="004E5266">
        <w:tc>
          <w:tcPr>
            <w:tcW w:w="1120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年度报告</w:t>
            </w:r>
          </w:p>
        </w:tc>
        <w:tc>
          <w:tcPr>
            <w:tcW w:w="1122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64" w:type="dxa"/>
            <w:vAlign w:val="center"/>
          </w:tcPr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15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092" w:type="dxa"/>
            <w:vAlign w:val="center"/>
          </w:tcPr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□政务微信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□微视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□电视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□报刊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□电子信息屏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□便民服务点（室）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□预公开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4C38BD">
              <w:rPr>
                <w:sz w:val="20"/>
                <w:szCs w:val="20"/>
              </w:rPr>
              <w:t>全文发布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□政策解读</w:t>
            </w:r>
          </w:p>
          <w:p w:rsidR="00F84532" w:rsidRPr="004C38B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□现场宣讲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4C38B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CA58B1" w:rsidRPr="004E5266" w:rsidRDefault="00CA58B1" w:rsidP="00CA58B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383406</w:t>
            </w:r>
            <w:r w:rsidRPr="004E5266">
              <w:rPr>
                <w:color w:val="000000"/>
                <w:kern w:val="0"/>
                <w:sz w:val="20"/>
                <w:szCs w:val="20"/>
              </w:rPr>
              <w:t>、13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738469999</w:t>
            </w:r>
          </w:p>
          <w:p w:rsidR="00F84532" w:rsidRPr="00993677" w:rsidRDefault="00CA58B1" w:rsidP="00CA58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12350</w:t>
            </w:r>
          </w:p>
        </w:tc>
      </w:tr>
      <w:tr w:rsidR="00F84532" w:rsidTr="004E5266">
        <w:tc>
          <w:tcPr>
            <w:tcW w:w="1120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2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政府信息公开指南</w:t>
            </w:r>
          </w:p>
        </w:tc>
        <w:tc>
          <w:tcPr>
            <w:tcW w:w="2964" w:type="dxa"/>
            <w:vAlign w:val="center"/>
          </w:tcPr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15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3092" w:type="dxa"/>
            <w:vAlign w:val="center"/>
          </w:tcPr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□政务微信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□微视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□电视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□报刊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□电子信息屏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□便民服务点（室）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285" w:type="dxa"/>
            <w:vAlign w:val="center"/>
          </w:tcPr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 w:rsidRPr="004C38BD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316" w:type="dxa"/>
            <w:vAlign w:val="center"/>
          </w:tcPr>
          <w:p w:rsidR="00CA58B1" w:rsidRPr="004E5266" w:rsidRDefault="00CA58B1" w:rsidP="00CA58B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383406</w:t>
            </w:r>
            <w:r w:rsidRPr="004E5266">
              <w:rPr>
                <w:color w:val="000000"/>
                <w:kern w:val="0"/>
                <w:sz w:val="20"/>
                <w:szCs w:val="20"/>
              </w:rPr>
              <w:t>、13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738469999</w:t>
            </w:r>
          </w:p>
          <w:p w:rsidR="00F84532" w:rsidRPr="00993677" w:rsidRDefault="00CA58B1" w:rsidP="00CA58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12350</w:t>
            </w:r>
          </w:p>
        </w:tc>
      </w:tr>
      <w:tr w:rsidR="00F84532" w:rsidTr="004E5266">
        <w:tc>
          <w:tcPr>
            <w:tcW w:w="1120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信息公开目录</w:t>
            </w:r>
          </w:p>
        </w:tc>
        <w:tc>
          <w:tcPr>
            <w:tcW w:w="1122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政府信息公开目录</w:t>
            </w:r>
          </w:p>
        </w:tc>
        <w:tc>
          <w:tcPr>
            <w:tcW w:w="2964" w:type="dxa"/>
            <w:vAlign w:val="center"/>
          </w:tcPr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15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68" w:type="dxa"/>
            <w:vAlign w:val="center"/>
          </w:tcPr>
          <w:p w:rsidR="00F84532" w:rsidRPr="00993677" w:rsidRDefault="00F84532" w:rsidP="00F845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3092" w:type="dxa"/>
            <w:vAlign w:val="center"/>
          </w:tcPr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301FD">
              <w:rPr>
                <w:sz w:val="20"/>
                <w:szCs w:val="20"/>
              </w:rPr>
              <w:t xml:space="preserve">政府网站      </w:t>
            </w:r>
            <w:r w:rsidRPr="001445BC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301FD">
              <w:rPr>
                <w:sz w:val="20"/>
                <w:szCs w:val="20"/>
              </w:rPr>
              <w:t>政府公报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□政务微博</w:t>
            </w:r>
            <w:r w:rsidRPr="009301FD">
              <w:rPr>
                <w:sz w:val="20"/>
                <w:szCs w:val="20"/>
              </w:rPr>
              <w:t xml:space="preserve">      □政务微信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□移动客户端</w:t>
            </w:r>
            <w:r w:rsidRPr="009301FD">
              <w:rPr>
                <w:sz w:val="20"/>
                <w:szCs w:val="20"/>
              </w:rPr>
              <w:t xml:space="preserve">    □微视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□手机短信推送</w:t>
            </w:r>
            <w:r w:rsidRPr="009301FD">
              <w:rPr>
                <w:sz w:val="20"/>
                <w:szCs w:val="20"/>
              </w:rPr>
              <w:t xml:space="preserve">  □电视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□广播</w:t>
            </w:r>
            <w:r w:rsidRPr="009301FD">
              <w:rPr>
                <w:sz w:val="20"/>
                <w:szCs w:val="20"/>
              </w:rPr>
              <w:t xml:space="preserve">          □报刊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□信息公告栏</w:t>
            </w:r>
            <w:r w:rsidRPr="009301FD">
              <w:rPr>
                <w:sz w:val="20"/>
                <w:szCs w:val="20"/>
              </w:rPr>
              <w:t xml:space="preserve">    □电子信息屏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□便民服务中心</w:t>
            </w:r>
            <w:r w:rsidRPr="009301FD">
              <w:rPr>
                <w:sz w:val="20"/>
                <w:szCs w:val="20"/>
              </w:rPr>
              <w:t xml:space="preserve"> □便民服务点（室）</w:t>
            </w:r>
          </w:p>
          <w:p w:rsidR="00F84532" w:rsidRPr="009301FD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□图书馆</w:t>
            </w:r>
            <w:r w:rsidRPr="009301FD">
              <w:rPr>
                <w:sz w:val="20"/>
                <w:szCs w:val="20"/>
              </w:rPr>
              <w:t xml:space="preserve">         □档案馆</w:t>
            </w:r>
          </w:p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 w:rsidRPr="009301FD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 w:rsidR="00F84532" w:rsidRPr="00993677" w:rsidRDefault="00F84532" w:rsidP="00F8453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 w:rsidRPr="004C38BD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316" w:type="dxa"/>
            <w:vAlign w:val="center"/>
          </w:tcPr>
          <w:p w:rsidR="00CA58B1" w:rsidRPr="004E5266" w:rsidRDefault="00CA58B1" w:rsidP="00CA58B1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0574-89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383406</w:t>
            </w:r>
            <w:r w:rsidRPr="004E5266">
              <w:rPr>
                <w:color w:val="000000"/>
                <w:kern w:val="0"/>
                <w:sz w:val="20"/>
                <w:szCs w:val="20"/>
              </w:rPr>
              <w:t>、13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738469999</w:t>
            </w:r>
          </w:p>
          <w:p w:rsidR="00F84532" w:rsidRPr="00993677" w:rsidRDefault="00CA58B1" w:rsidP="00CA58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5266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4E5266">
              <w:rPr>
                <w:color w:val="000000"/>
                <w:kern w:val="0"/>
                <w:sz w:val="20"/>
                <w:szCs w:val="20"/>
              </w:rPr>
              <w:t>12350</w:t>
            </w:r>
          </w:p>
        </w:tc>
      </w:tr>
    </w:tbl>
    <w:p w:rsidR="00C9374F" w:rsidRDefault="00C9374F"/>
    <w:sectPr w:rsidR="00C9374F" w:rsidSect="009936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E9" w:rsidRDefault="00570BE9" w:rsidP="00993677">
      <w:pPr>
        <w:spacing w:line="240" w:lineRule="auto"/>
      </w:pPr>
      <w:r>
        <w:separator/>
      </w:r>
    </w:p>
  </w:endnote>
  <w:endnote w:type="continuationSeparator" w:id="1">
    <w:p w:rsidR="00570BE9" w:rsidRDefault="00570BE9" w:rsidP="00993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E9" w:rsidRDefault="00570BE9" w:rsidP="00993677">
      <w:pPr>
        <w:spacing w:line="240" w:lineRule="auto"/>
      </w:pPr>
      <w:r>
        <w:separator/>
      </w:r>
    </w:p>
  </w:footnote>
  <w:footnote w:type="continuationSeparator" w:id="1">
    <w:p w:rsidR="00570BE9" w:rsidRDefault="00570BE9" w:rsidP="009936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4B"/>
    <w:rsid w:val="0008482C"/>
    <w:rsid w:val="000A4972"/>
    <w:rsid w:val="000D02FF"/>
    <w:rsid w:val="000E74DD"/>
    <w:rsid w:val="00125ACD"/>
    <w:rsid w:val="0012717F"/>
    <w:rsid w:val="001409F6"/>
    <w:rsid w:val="001445BC"/>
    <w:rsid w:val="001D7D5E"/>
    <w:rsid w:val="00247DF9"/>
    <w:rsid w:val="00303D4B"/>
    <w:rsid w:val="00316855"/>
    <w:rsid w:val="003821AB"/>
    <w:rsid w:val="00395AF4"/>
    <w:rsid w:val="003D1B38"/>
    <w:rsid w:val="004008E9"/>
    <w:rsid w:val="004136DB"/>
    <w:rsid w:val="00441F55"/>
    <w:rsid w:val="00461893"/>
    <w:rsid w:val="004C38BD"/>
    <w:rsid w:val="004E5266"/>
    <w:rsid w:val="00525EC6"/>
    <w:rsid w:val="005542C1"/>
    <w:rsid w:val="00570BE9"/>
    <w:rsid w:val="00576696"/>
    <w:rsid w:val="00683C7F"/>
    <w:rsid w:val="00716847"/>
    <w:rsid w:val="00730BD9"/>
    <w:rsid w:val="007D3337"/>
    <w:rsid w:val="007E1BAE"/>
    <w:rsid w:val="008420FC"/>
    <w:rsid w:val="008A38DA"/>
    <w:rsid w:val="009162BC"/>
    <w:rsid w:val="009301FD"/>
    <w:rsid w:val="0095651A"/>
    <w:rsid w:val="00993677"/>
    <w:rsid w:val="00994CF3"/>
    <w:rsid w:val="00A970EC"/>
    <w:rsid w:val="00AB5D08"/>
    <w:rsid w:val="00BB009B"/>
    <w:rsid w:val="00BE37B6"/>
    <w:rsid w:val="00C13E74"/>
    <w:rsid w:val="00C9374F"/>
    <w:rsid w:val="00CA58B1"/>
    <w:rsid w:val="00CC04AB"/>
    <w:rsid w:val="00CF0FE4"/>
    <w:rsid w:val="00E124C1"/>
    <w:rsid w:val="00E5106C"/>
    <w:rsid w:val="00E52776"/>
    <w:rsid w:val="00F43C1F"/>
    <w:rsid w:val="00F84532"/>
    <w:rsid w:val="00F95B9C"/>
    <w:rsid w:val="00F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F6"/>
    <w:pPr>
      <w:widowControl w:val="0"/>
      <w:spacing w:line="360" w:lineRule="auto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677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67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677"/>
    <w:rPr>
      <w:rFonts w:ascii="宋体" w:eastAsia="宋体" w:hAnsi="宋体" w:cs="宋体"/>
      <w:sz w:val="18"/>
      <w:szCs w:val="18"/>
    </w:rPr>
  </w:style>
  <w:style w:type="table" w:styleId="a5">
    <w:name w:val="Table Grid"/>
    <w:basedOn w:val="a1"/>
    <w:uiPriority w:val="39"/>
    <w:rsid w:val="0099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uiPriority w:val="99"/>
    <w:qFormat/>
    <w:rsid w:val="005542C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qFormat/>
    <w:rsid w:val="00F95B9C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41">
    <w:name w:val="font41"/>
    <w:basedOn w:val="a0"/>
    <w:uiPriority w:val="99"/>
    <w:rsid w:val="00FF5B08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094E-021C-484F-933F-3806BD4E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837</Words>
  <Characters>4776</Characters>
  <Application>Microsoft Office Word</Application>
  <DocSecurity>0</DocSecurity>
  <Lines>39</Lines>
  <Paragraphs>11</Paragraphs>
  <ScaleCrop>false</ScaleCrop>
  <Company>P R C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梅君波</cp:lastModifiedBy>
  <cp:revision>2</cp:revision>
  <dcterms:created xsi:type="dcterms:W3CDTF">2019-09-27T03:02:00Z</dcterms:created>
  <dcterms:modified xsi:type="dcterms:W3CDTF">2019-09-27T03:02:00Z</dcterms:modified>
</cp:coreProperties>
</file>