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640" w:firstLineChars="200"/>
        <w:jc w:val="left"/>
        <w:rPr>
          <w:rFonts w:hint="eastAsia" w:eastAsia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件</w:t>
      </w:r>
    </w:p>
    <w:p>
      <w:pPr>
        <w:spacing w:afterLines="50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北仑区科技型初创企业认定专家评审意见表</w:t>
      </w:r>
    </w:p>
    <w:bookmarkEnd w:id="0"/>
    <w:tbl>
      <w:tblPr>
        <w:tblStyle w:val="3"/>
        <w:tblW w:w="95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5"/>
        <w:gridCol w:w="3319"/>
        <w:gridCol w:w="1417"/>
        <w:gridCol w:w="821"/>
        <w:gridCol w:w="13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</w:rPr>
              <w:t>申请企业</w:t>
            </w:r>
          </w:p>
        </w:tc>
        <w:tc>
          <w:tcPr>
            <w:tcW w:w="69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</w:rPr>
              <w:t>行业所属领域</w:t>
            </w:r>
          </w:p>
        </w:tc>
        <w:tc>
          <w:tcPr>
            <w:tcW w:w="69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</w:rPr>
              <w:t>指标</w:t>
            </w:r>
          </w:p>
        </w:tc>
        <w:tc>
          <w:tcPr>
            <w:tcW w:w="3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</w:rPr>
              <w:t>指标值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</w:rPr>
              <w:t>分值</w:t>
            </w:r>
          </w:p>
        </w:tc>
        <w:tc>
          <w:tcPr>
            <w:tcW w:w="2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0"/>
                <w:szCs w:val="30"/>
              </w:rPr>
              <w:t>企业得分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前一年或截止申报前</w:t>
            </w:r>
          </w:p>
          <w:p>
            <w:pPr>
              <w:widowControl/>
              <w:snapToGrid w:val="0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销售产值（10）</w:t>
            </w:r>
          </w:p>
        </w:tc>
        <w:tc>
          <w:tcPr>
            <w:tcW w:w="3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≥</w:t>
            </w: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  <w:r>
              <w:rPr>
                <w:rFonts w:ascii="宋体" w:hAnsi="宋体" w:cs="宋体"/>
                <w:kern w:val="0"/>
                <w:sz w:val="24"/>
              </w:rPr>
              <w:t>00万元，</w:t>
            </w:r>
            <w:r>
              <w:rPr>
                <w:rFonts w:hint="eastAsia" w:ascii="宋体" w:hAnsi="宋体" w:cs="宋体"/>
                <w:kern w:val="0"/>
                <w:sz w:val="24"/>
              </w:rPr>
              <w:t>≤5</w:t>
            </w:r>
            <w:r>
              <w:rPr>
                <w:rFonts w:ascii="宋体" w:hAnsi="宋体" w:cs="宋体"/>
                <w:kern w:val="0"/>
                <w:sz w:val="24"/>
              </w:rPr>
              <w:t>000</w:t>
            </w:r>
            <w:r>
              <w:rPr>
                <w:rFonts w:hint="eastAsia" w:ascii="宋体" w:hAnsi="宋体" w:cs="宋体"/>
                <w:kern w:val="0"/>
                <w:sz w:val="24"/>
              </w:rPr>
              <w:t>万元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8-10</w:t>
            </w:r>
          </w:p>
        </w:tc>
        <w:tc>
          <w:tcPr>
            <w:tcW w:w="22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3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≥</w:t>
            </w:r>
            <w:r>
              <w:rPr>
                <w:rFonts w:ascii="宋体" w:hAnsi="宋体" w:cs="宋体"/>
                <w:kern w:val="0"/>
                <w:sz w:val="24"/>
              </w:rPr>
              <w:t>500万元，</w:t>
            </w:r>
            <w:r>
              <w:rPr>
                <w:rFonts w:hint="eastAsia" w:ascii="宋体" w:hAnsi="宋体" w:cs="宋体"/>
                <w:kern w:val="0"/>
                <w:sz w:val="24"/>
              </w:rPr>
              <w:t>≤2</w:t>
            </w:r>
            <w:r>
              <w:rPr>
                <w:rFonts w:ascii="宋体" w:hAnsi="宋体" w:cs="宋体"/>
                <w:kern w:val="0"/>
                <w:sz w:val="24"/>
              </w:rPr>
              <w:t>000</w:t>
            </w:r>
            <w:r>
              <w:rPr>
                <w:rFonts w:hint="eastAsia" w:ascii="宋体" w:hAnsi="宋体" w:cs="宋体"/>
                <w:kern w:val="0"/>
                <w:sz w:val="24"/>
              </w:rPr>
              <w:t>万元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5-7</w:t>
            </w:r>
          </w:p>
        </w:tc>
        <w:tc>
          <w:tcPr>
            <w:tcW w:w="22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研发投入占比（15）</w:t>
            </w:r>
          </w:p>
        </w:tc>
        <w:tc>
          <w:tcPr>
            <w:tcW w:w="33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≥6%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/>
                <w:kern w:val="0"/>
                <w:sz w:val="24"/>
              </w:rPr>
              <w:t>-</w:t>
            </w: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22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≥4%，＜6%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6-10</w:t>
            </w:r>
          </w:p>
        </w:tc>
        <w:tc>
          <w:tcPr>
            <w:tcW w:w="22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≥2%，＜4%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0</w:t>
            </w:r>
            <w:r>
              <w:rPr>
                <w:rFonts w:hint="eastAsia" w:ascii="宋体" w:cs="宋体"/>
                <w:kern w:val="0"/>
                <w:sz w:val="24"/>
              </w:rPr>
              <w:t>-5</w:t>
            </w:r>
          </w:p>
        </w:tc>
        <w:tc>
          <w:tcPr>
            <w:tcW w:w="22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研发人员占比（20）</w:t>
            </w:r>
          </w:p>
        </w:tc>
        <w:tc>
          <w:tcPr>
            <w:tcW w:w="33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≥30%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  <w:r>
              <w:rPr>
                <w:rFonts w:ascii="宋体" w:hAnsi="宋体" w:cs="宋体"/>
                <w:kern w:val="0"/>
                <w:sz w:val="24"/>
              </w:rPr>
              <w:t>-</w:t>
            </w: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22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≥20%，＜30%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6-13</w:t>
            </w:r>
          </w:p>
        </w:tc>
        <w:tc>
          <w:tcPr>
            <w:tcW w:w="22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≥10%，＜20%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0</w:t>
            </w:r>
            <w:r>
              <w:rPr>
                <w:rFonts w:hint="eastAsia" w:ascii="宋体" w:cs="宋体"/>
                <w:kern w:val="0"/>
                <w:sz w:val="24"/>
              </w:rPr>
              <w:t>-5</w:t>
            </w:r>
          </w:p>
        </w:tc>
        <w:tc>
          <w:tcPr>
            <w:tcW w:w="22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知识产权储备（15）</w:t>
            </w:r>
          </w:p>
        </w:tc>
        <w:tc>
          <w:tcPr>
            <w:tcW w:w="33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有发明专利授权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11-15</w:t>
            </w:r>
          </w:p>
        </w:tc>
        <w:tc>
          <w:tcPr>
            <w:tcW w:w="22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2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  <w:highlight w:val="yellow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有实用新型专利或软件著作权、无发明专利授权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6-10</w:t>
            </w:r>
          </w:p>
        </w:tc>
        <w:tc>
          <w:tcPr>
            <w:tcW w:w="22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有专利受理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0-5</w:t>
            </w:r>
          </w:p>
        </w:tc>
        <w:tc>
          <w:tcPr>
            <w:tcW w:w="22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企业发展计划（10）</w:t>
            </w:r>
          </w:p>
        </w:tc>
        <w:tc>
          <w:tcPr>
            <w:tcW w:w="3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0-</w:t>
            </w: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2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exact"/>
          <w:jc w:val="center"/>
        </w:trPr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重点人才情况（5）</w:t>
            </w:r>
          </w:p>
        </w:tc>
        <w:tc>
          <w:tcPr>
            <w:tcW w:w="3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国家、省级“引才工程”、市“甬江引才工程”、北仑区“强港强区引才工程”等重点科技人才创办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0-5</w:t>
            </w:r>
          </w:p>
        </w:tc>
        <w:tc>
          <w:tcPr>
            <w:tcW w:w="2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新兴产业领域（5）</w:t>
            </w:r>
          </w:p>
        </w:tc>
        <w:tc>
          <w:tcPr>
            <w:tcW w:w="3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0-5</w:t>
            </w:r>
          </w:p>
        </w:tc>
        <w:tc>
          <w:tcPr>
            <w:tcW w:w="2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财务核算规范性（10）</w:t>
            </w:r>
          </w:p>
        </w:tc>
        <w:tc>
          <w:tcPr>
            <w:tcW w:w="3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0-10</w:t>
            </w:r>
          </w:p>
        </w:tc>
        <w:tc>
          <w:tcPr>
            <w:tcW w:w="2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佐证材料完备性（10）</w:t>
            </w:r>
          </w:p>
        </w:tc>
        <w:tc>
          <w:tcPr>
            <w:tcW w:w="3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0-10</w:t>
            </w:r>
          </w:p>
        </w:tc>
        <w:tc>
          <w:tcPr>
            <w:tcW w:w="2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总得分</w:t>
            </w:r>
          </w:p>
        </w:tc>
        <w:tc>
          <w:tcPr>
            <w:tcW w:w="6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专家意见</w:t>
            </w:r>
          </w:p>
        </w:tc>
        <w:tc>
          <w:tcPr>
            <w:tcW w:w="55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5557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不推荐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专家签字</w:t>
            </w:r>
          </w:p>
        </w:tc>
        <w:tc>
          <w:tcPr>
            <w:tcW w:w="6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　　　　　　　　　　　　　　　　　　</w:t>
            </w:r>
          </w:p>
        </w:tc>
      </w:tr>
    </w:tbl>
    <w:p>
      <w:pPr>
        <w:rPr>
          <w:sz w:val="10"/>
          <w:szCs w:val="1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C742E"/>
    <w:rsid w:val="3C5C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qFormat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2023-06-07T02:33:00Z</dcterms:created>
  <dc:creator>Fei</dc:creator>
  <cp:lastModifiedBy>Fei</cp:lastModifiedBy>
  <dcterms:modified xsi:type="dcterms:W3CDTF">2023-06-07T02:33:53Z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