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60"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202</w:t>
      </w:r>
      <w:r>
        <w:rPr>
          <w:rFonts w:hint="eastAsia" w:ascii="方正小标宋简体" w:hAnsi="方正小标宋简体" w:eastAsia="方正小标宋简体" w:cs="方正小标宋简体"/>
          <w:color w:val="333333"/>
          <w:sz w:val="44"/>
          <w:szCs w:val="44"/>
          <w:lang w:val="en-US" w:eastAsia="zh-CN"/>
        </w:rPr>
        <w:t>2</w:t>
      </w:r>
      <w:r>
        <w:rPr>
          <w:rFonts w:hint="eastAsia" w:ascii="方正小标宋简体" w:hAnsi="方正小标宋简体" w:eastAsia="方正小标宋简体" w:cs="方正小标宋简体"/>
          <w:color w:val="333333"/>
          <w:sz w:val="44"/>
          <w:szCs w:val="44"/>
        </w:rPr>
        <w:t>年度北仑区住房和城乡建设局</w:t>
      </w:r>
    </w:p>
    <w:p>
      <w:pPr>
        <w:pStyle w:val="4"/>
        <w:widowControl/>
        <w:spacing w:beforeAutospacing="0" w:afterAutospacing="0" w:line="660"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政府信息公开工作年度报告</w:t>
      </w:r>
    </w:p>
    <w:p>
      <w:pPr>
        <w:pStyle w:val="4"/>
        <w:widowControl/>
        <w:spacing w:beforeAutospacing="0" w:afterAutospacing="0" w:line="660" w:lineRule="exact"/>
        <w:ind w:firstLine="420"/>
        <w:jc w:val="center"/>
        <w:rPr>
          <w:rFonts w:ascii="黑体" w:hAnsi="黑体" w:eastAsia="黑体" w:cs="黑体"/>
          <w:color w:val="333333"/>
          <w:sz w:val="32"/>
          <w:szCs w:val="32"/>
        </w:rPr>
      </w:pPr>
    </w:p>
    <w:p>
      <w:pPr>
        <w:pStyle w:val="4"/>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编制说明：本报告是根据《中华人民共和国政府信息公开条例》（国务院令第711号）和《国务院办公厅政府信息与政务公开办公室关于政府信息公开工作年度报告有关事项的通知》（国办公开办函〔2019〕60号）、国务院办公厅政府信息与政务公开办公室关于印发《中华人民共和国政府信息公开工作年度报告格式》的通知（国办公开办函〔2021〕30号）文件要求编制。全文包含总体情况、行政机关主动公开政府信息情况、行政机关收到和处理政府信息公开申请情况、因政府信息公开工作被申请行政复议、提起行政诉讼情况、政府信息公开工作存在的主要问题及改进情况、其他需要报告的事项六个方面。本报告所列数据的统计期限自2022年1月1日起至12月31日止。</w:t>
      </w:r>
    </w:p>
    <w:p>
      <w:pPr>
        <w:pStyle w:val="4"/>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ascii="黑体" w:hAnsi="黑体" w:eastAsia="黑体" w:cs="黑体"/>
          <w:sz w:val="32"/>
          <w:szCs w:val="32"/>
        </w:rPr>
      </w:pPr>
      <w:r>
        <w:rPr>
          <w:rFonts w:hint="eastAsia" w:ascii="黑体" w:hAnsi="黑体" w:eastAsia="黑体" w:cs="黑体"/>
          <w:color w:val="333333"/>
          <w:sz w:val="32"/>
          <w:szCs w:val="32"/>
        </w:rPr>
        <w:t>一、总体情况</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按照《中华人民共和国政府信息公开条例》和《宁波市政府信息公开规定》的文件精神,现特向社会公布202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年宁波市北仑区住房和城乡建设局政府信息公开工作年度报告：</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333333"/>
          <w:sz w:val="32"/>
          <w:szCs w:val="32"/>
        </w:rPr>
      </w:pPr>
      <w:r>
        <w:rPr>
          <w:rFonts w:hint="eastAsia" w:ascii="黑体" w:hAnsi="黑体" w:eastAsia="黑体" w:cs="仿宋_GB2312"/>
          <w:color w:val="333333"/>
          <w:sz w:val="32"/>
          <w:szCs w:val="32"/>
        </w:rPr>
        <w:t>（一）主动公开情况</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截止202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年12月31日，政府信息北仑政府信息公开网站主动公开数共</w:t>
      </w:r>
      <w:r>
        <w:rPr>
          <w:rFonts w:hint="eastAsia" w:ascii="仿宋_GB2312" w:hAnsi="仿宋_GB2312" w:eastAsia="仿宋_GB2312" w:cs="仿宋_GB2312"/>
          <w:color w:val="333333"/>
          <w:sz w:val="32"/>
          <w:szCs w:val="32"/>
          <w:lang w:val="en-US" w:eastAsia="zh-CN"/>
        </w:rPr>
        <w:t>169</w:t>
      </w:r>
      <w:r>
        <w:rPr>
          <w:rFonts w:hint="eastAsia" w:ascii="仿宋_GB2312" w:hAnsi="仿宋_GB2312" w:eastAsia="仿宋_GB2312" w:cs="仿宋_GB2312"/>
          <w:color w:val="333333"/>
          <w:sz w:val="32"/>
          <w:szCs w:val="32"/>
        </w:rPr>
        <w:t>条，政务微博主动公开政府信息数0条，政务微信主动公开政府信息数0条。</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333333"/>
          <w:sz w:val="32"/>
          <w:szCs w:val="32"/>
        </w:rPr>
      </w:pPr>
      <w:r>
        <w:rPr>
          <w:rFonts w:hint="eastAsia" w:ascii="黑体" w:hAnsi="黑体" w:eastAsia="黑体" w:cs="仿宋_GB2312"/>
          <w:color w:val="333333"/>
          <w:sz w:val="32"/>
          <w:szCs w:val="32"/>
        </w:rPr>
        <w:t>（二）依申请公开情况。</w:t>
      </w:r>
    </w:p>
    <w:p>
      <w:pPr>
        <w:widowControl/>
        <w:spacing w:line="600" w:lineRule="exact"/>
        <w:ind w:firstLine="627" w:firstLineChars="196"/>
        <w:jc w:val="left"/>
        <w:rPr>
          <w:rFonts w:hint="eastAsia" w:ascii="仿宋_GB2312" w:eastAsia="仿宋_GB2312"/>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年共收到依申请公开政府信息1</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件，</w:t>
      </w:r>
      <w:r>
        <w:rPr>
          <w:rFonts w:hint="eastAsia" w:ascii="仿宋_GB2312" w:eastAsia="仿宋_GB2312"/>
          <w:sz w:val="32"/>
          <w:szCs w:val="32"/>
        </w:rPr>
        <w:t>做到答复及时、规范。在办理过程中，对申请的信息内容不明确的，积极与申请人取得联系，对需要征询第三方意见的，均予以书面确认后再作出决定。</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333333"/>
          <w:sz w:val="32"/>
          <w:szCs w:val="32"/>
        </w:rPr>
      </w:pPr>
      <w:r>
        <w:rPr>
          <w:rFonts w:hint="eastAsia" w:ascii="黑体" w:hAnsi="黑体" w:eastAsia="黑体" w:cs="仿宋_GB2312"/>
          <w:color w:val="333333"/>
          <w:sz w:val="32"/>
          <w:szCs w:val="32"/>
        </w:rPr>
        <w:t>（</w:t>
      </w:r>
      <w:r>
        <w:rPr>
          <w:rFonts w:hint="eastAsia" w:ascii="黑体" w:hAnsi="黑体" w:eastAsia="黑体" w:cs="仿宋_GB2312"/>
          <w:color w:val="333333"/>
          <w:sz w:val="32"/>
          <w:szCs w:val="32"/>
          <w:lang w:eastAsia="zh-CN"/>
        </w:rPr>
        <w:t>三</w:t>
      </w:r>
      <w:r>
        <w:rPr>
          <w:rFonts w:hint="eastAsia" w:ascii="黑体" w:hAnsi="黑体" w:eastAsia="黑体" w:cs="仿宋_GB2312"/>
          <w:color w:val="333333"/>
          <w:sz w:val="32"/>
          <w:szCs w:val="32"/>
        </w:rPr>
        <w:t>）监督保障工作情况。</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一是领导重视，持续推进。分管副局长多次在局党委会汇报政务公开工作情况，积极参加区政府组织召开的政务公开工作推进会。二是压实责任，强化保障。</w:t>
      </w:r>
      <w:r>
        <w:rPr>
          <w:rFonts w:hint="eastAsia" w:ascii="仿宋_GB2312" w:eastAsia="仿宋_GB2312"/>
          <w:sz w:val="32"/>
          <w:szCs w:val="32"/>
        </w:rPr>
        <w:t>为确保信息公开工作落到实处，</w:t>
      </w:r>
      <w:r>
        <w:rPr>
          <w:rFonts w:hint="eastAsia" w:ascii="仿宋_GB2312" w:hAnsi="仿宋_GB2312" w:eastAsia="仿宋_GB2312" w:cs="仿宋_GB2312"/>
          <w:color w:val="333333"/>
          <w:sz w:val="32"/>
          <w:szCs w:val="32"/>
        </w:rPr>
        <w:t>逐项将公开目录分解到局属各单位、各科室，确保信息发布及时、准确。全年没有发生因政务公开被追究责任的情况。</w:t>
      </w:r>
    </w:p>
    <w:p>
      <w:pPr>
        <w:numPr>
          <w:ilvl w:val="0"/>
          <w:numId w:val="1"/>
        </w:numPr>
        <w:spacing w:line="580" w:lineRule="exact"/>
        <w:ind w:firstLine="640" w:firstLineChars="200"/>
        <w:rPr>
          <w:rFonts w:ascii="黑体" w:hAnsi="黑体" w:eastAsia="黑体" w:cs="黑体"/>
          <w:sz w:val="30"/>
          <w:szCs w:val="30"/>
        </w:rPr>
      </w:pPr>
      <w:r>
        <w:rPr>
          <w:rFonts w:hint="eastAsia" w:ascii="黑体" w:hAnsi="黑体" w:eastAsia="黑体" w:cs="黑体"/>
          <w:color w:val="000000"/>
          <w:sz w:val="32"/>
          <w:szCs w:val="32"/>
        </w:rPr>
        <w:t>主动公开政府信息情况</w:t>
      </w:r>
    </w:p>
    <w:tbl>
      <w:tblPr>
        <w:tblStyle w:val="5"/>
        <w:tblW w:w="9345"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2492" w:type="dxa"/>
            <w:vAlign w:val="center"/>
          </w:tcPr>
          <w:p>
            <w:pPr>
              <w:spacing w:line="400" w:lineRule="exact"/>
              <w:jc w:val="center"/>
              <w:rPr>
                <w:rFonts w:ascii="黑体" w:hAnsi="黑体" w:eastAsia="黑体" w:cs="黑体"/>
                <w:sz w:val="24"/>
              </w:rPr>
            </w:pPr>
            <w:r>
              <w:rPr>
                <w:rFonts w:hint="eastAsia" w:ascii="黑体" w:hAnsi="黑体" w:eastAsia="黑体" w:cs="黑体"/>
                <w:sz w:val="24"/>
              </w:rPr>
              <w:t>本年制发件数</w:t>
            </w:r>
          </w:p>
        </w:tc>
        <w:tc>
          <w:tcPr>
            <w:tcW w:w="2268" w:type="dxa"/>
            <w:vAlign w:val="center"/>
          </w:tcPr>
          <w:p>
            <w:pPr>
              <w:spacing w:line="400" w:lineRule="exact"/>
              <w:jc w:val="center"/>
              <w:rPr>
                <w:rFonts w:ascii="黑体" w:hAnsi="黑体" w:eastAsia="黑体" w:cs="黑体"/>
                <w:sz w:val="24"/>
              </w:rPr>
            </w:pPr>
            <w:r>
              <w:rPr>
                <w:rFonts w:hint="eastAsia" w:ascii="黑体" w:hAnsi="黑体" w:eastAsia="黑体" w:cs="黑体"/>
                <w:sz w:val="24"/>
              </w:rPr>
              <w:t>本年废止件数</w:t>
            </w:r>
          </w:p>
        </w:tc>
        <w:tc>
          <w:tcPr>
            <w:tcW w:w="2208" w:type="dxa"/>
            <w:vAlign w:val="center"/>
          </w:tcPr>
          <w:p>
            <w:pPr>
              <w:spacing w:line="400" w:lineRule="exact"/>
              <w:jc w:val="center"/>
              <w:rPr>
                <w:rFonts w:ascii="黑体" w:hAnsi="黑体" w:eastAsia="黑体" w:cs="黑体"/>
                <w:sz w:val="24"/>
              </w:rPr>
            </w:pPr>
            <w:r>
              <w:rPr>
                <w:rFonts w:hint="eastAsia" w:ascii="黑体" w:hAnsi="黑体" w:eastAsia="黑体" w:cs="黑体"/>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规章</w:t>
            </w:r>
          </w:p>
        </w:tc>
        <w:tc>
          <w:tcPr>
            <w:tcW w:w="249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6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0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行政规范性文件</w:t>
            </w:r>
          </w:p>
        </w:tc>
        <w:tc>
          <w:tcPr>
            <w:tcW w:w="2492"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226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08" w:type="dxa"/>
            <w:vAlign w:val="center"/>
          </w:tcPr>
          <w:p>
            <w:pPr>
              <w:jc w:val="center"/>
              <w:rPr>
                <w:rFonts w:hint="eastAsia" w:eastAsiaTheme="minorEastAsia"/>
                <w:lang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行政许可</w:t>
            </w:r>
          </w:p>
        </w:tc>
        <w:tc>
          <w:tcPr>
            <w:tcW w:w="6968" w:type="dxa"/>
            <w:gridSpan w:val="3"/>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行政处罚</w:t>
            </w:r>
          </w:p>
        </w:tc>
        <w:tc>
          <w:tcPr>
            <w:tcW w:w="6968" w:type="dxa"/>
            <w:gridSpan w:val="3"/>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行政强制</w:t>
            </w:r>
          </w:p>
        </w:tc>
        <w:tc>
          <w:tcPr>
            <w:tcW w:w="6968" w:type="dxa"/>
            <w:gridSpan w:val="3"/>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6968" w:type="dxa"/>
            <w:gridSpan w:val="3"/>
            <w:vAlign w:val="center"/>
          </w:tcPr>
          <w:p>
            <w:pPr>
              <w:spacing w:line="400" w:lineRule="exact"/>
              <w:jc w:val="center"/>
              <w:rPr>
                <w:rFonts w:ascii="仿宋_GB2312" w:hAnsi="仿宋_GB2312" w:eastAsia="仿宋_GB2312" w:cs="仿宋_GB2312"/>
                <w:sz w:val="24"/>
              </w:rPr>
            </w:pPr>
            <w:r>
              <w:rPr>
                <w:rFonts w:ascii="微软雅黑" w:hAnsi="微软雅黑" w:eastAsia="微软雅黑" w:cs="微软雅黑"/>
                <w:i w:val="0"/>
                <w:caps w:val="0"/>
                <w:color w:val="171A1D"/>
                <w:spacing w:val="0"/>
                <w:sz w:val="21"/>
                <w:szCs w:val="21"/>
                <w:shd w:val="clear" w:fill="FFFFFF"/>
              </w:rPr>
              <w:t>7554.333176</w:t>
            </w:r>
          </w:p>
        </w:tc>
      </w:tr>
    </w:tbl>
    <w:p>
      <w:pPr>
        <w:spacing w:line="660" w:lineRule="exact"/>
        <w:ind w:firstLine="640" w:firstLineChars="200"/>
        <w:rPr>
          <w:rFonts w:ascii="黑体" w:hAnsi="黑体" w:eastAsia="黑体"/>
          <w:sz w:val="30"/>
          <w:szCs w:val="30"/>
        </w:rPr>
      </w:pPr>
      <w:r>
        <w:rPr>
          <w:rFonts w:hint="eastAsia" w:ascii="黑体" w:hAnsi="黑体" w:eastAsia="黑体" w:cs="黑体"/>
          <w:color w:val="000000"/>
          <w:sz w:val="32"/>
          <w:szCs w:val="32"/>
        </w:rPr>
        <w:t>三、收到和处理政府信息公开申请情况</w:t>
      </w:r>
    </w:p>
    <w:tbl>
      <w:tblPr>
        <w:tblStyle w:val="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839"/>
        <w:gridCol w:w="709"/>
        <w:gridCol w:w="709"/>
        <w:gridCol w:w="800"/>
        <w:gridCol w:w="780"/>
        <w:gridCol w:w="57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54" w:type="dxa"/>
            <w:gridSpan w:val="7"/>
            <w:vAlign w:val="center"/>
          </w:tcPr>
          <w:p>
            <w:pPr>
              <w:spacing w:line="400" w:lineRule="exact"/>
              <w:jc w:val="center"/>
              <w:rPr>
                <w:rFonts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5" w:type="dxa"/>
            <w:gridSpan w:val="4"/>
            <w:vMerge w:val="continue"/>
            <w:vAlign w:val="center"/>
          </w:tcPr>
          <w:p>
            <w:pPr>
              <w:spacing w:line="400" w:lineRule="exact"/>
              <w:rPr>
                <w:rFonts w:ascii="宋体" w:hAnsi="宋体"/>
                <w:sz w:val="18"/>
                <w:szCs w:val="18"/>
              </w:rPr>
            </w:pPr>
          </w:p>
        </w:tc>
        <w:tc>
          <w:tcPr>
            <w:tcW w:w="839" w:type="dxa"/>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自然人</w:t>
            </w:r>
          </w:p>
        </w:tc>
        <w:tc>
          <w:tcPr>
            <w:tcW w:w="3568"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法人或其他组织</w:t>
            </w:r>
          </w:p>
        </w:tc>
        <w:tc>
          <w:tcPr>
            <w:tcW w:w="747" w:type="dxa"/>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vAlign w:val="center"/>
          </w:tcPr>
          <w:p>
            <w:pPr>
              <w:spacing w:line="400" w:lineRule="exact"/>
              <w:rPr>
                <w:rFonts w:ascii="宋体" w:hAnsi="宋体"/>
                <w:sz w:val="18"/>
                <w:szCs w:val="18"/>
              </w:rPr>
            </w:pPr>
          </w:p>
        </w:tc>
        <w:tc>
          <w:tcPr>
            <w:tcW w:w="839" w:type="dxa"/>
            <w:vMerge w:val="continue"/>
            <w:vAlign w:val="center"/>
          </w:tcPr>
          <w:p>
            <w:pPr>
              <w:spacing w:line="400" w:lineRule="exact"/>
              <w:rPr>
                <w:rFonts w:ascii="黑体" w:hAnsi="黑体" w:eastAsia="黑体" w:cs="黑体"/>
                <w:sz w:val="24"/>
              </w:rPr>
            </w:pPr>
          </w:p>
        </w:tc>
        <w:tc>
          <w:tcPr>
            <w:tcW w:w="709" w:type="dxa"/>
            <w:vAlign w:val="center"/>
          </w:tcPr>
          <w:p>
            <w:pPr>
              <w:spacing w:line="400" w:lineRule="exact"/>
              <w:jc w:val="center"/>
              <w:rPr>
                <w:rFonts w:ascii="黑体" w:hAnsi="黑体" w:eastAsia="黑体" w:cs="黑体"/>
                <w:sz w:val="24"/>
              </w:rPr>
            </w:pPr>
            <w:r>
              <w:rPr>
                <w:rFonts w:hint="eastAsia" w:ascii="黑体" w:hAnsi="黑体" w:eastAsia="黑体" w:cs="黑体"/>
                <w:sz w:val="24"/>
              </w:rPr>
              <w:t>商业企业</w:t>
            </w:r>
          </w:p>
        </w:tc>
        <w:tc>
          <w:tcPr>
            <w:tcW w:w="709" w:type="dxa"/>
            <w:vAlign w:val="center"/>
          </w:tcPr>
          <w:p>
            <w:pPr>
              <w:spacing w:line="400" w:lineRule="exact"/>
              <w:jc w:val="center"/>
              <w:rPr>
                <w:rFonts w:ascii="黑体" w:hAnsi="黑体" w:eastAsia="黑体" w:cs="黑体"/>
                <w:sz w:val="24"/>
              </w:rPr>
            </w:pPr>
            <w:r>
              <w:rPr>
                <w:rFonts w:hint="eastAsia" w:ascii="黑体" w:hAnsi="黑体" w:eastAsia="黑体" w:cs="黑体"/>
                <w:sz w:val="24"/>
              </w:rPr>
              <w:t>科研机构</w:t>
            </w:r>
          </w:p>
        </w:tc>
        <w:tc>
          <w:tcPr>
            <w:tcW w:w="800" w:type="dxa"/>
            <w:vAlign w:val="center"/>
          </w:tcPr>
          <w:p>
            <w:pPr>
              <w:spacing w:line="400" w:lineRule="exact"/>
              <w:jc w:val="center"/>
              <w:rPr>
                <w:rFonts w:ascii="黑体" w:hAnsi="黑体" w:eastAsia="黑体" w:cs="黑体"/>
                <w:sz w:val="24"/>
              </w:rPr>
            </w:pPr>
            <w:r>
              <w:rPr>
                <w:rFonts w:hint="eastAsia" w:ascii="黑体" w:hAnsi="黑体" w:eastAsia="黑体" w:cs="黑体"/>
                <w:sz w:val="24"/>
              </w:rPr>
              <w:t>社会公益组织</w:t>
            </w:r>
          </w:p>
        </w:tc>
        <w:tc>
          <w:tcPr>
            <w:tcW w:w="780" w:type="dxa"/>
            <w:vAlign w:val="center"/>
          </w:tcPr>
          <w:p>
            <w:pPr>
              <w:spacing w:line="400" w:lineRule="exact"/>
              <w:jc w:val="center"/>
              <w:rPr>
                <w:rFonts w:ascii="黑体" w:hAnsi="黑体" w:eastAsia="黑体" w:cs="黑体"/>
                <w:sz w:val="24"/>
              </w:rPr>
            </w:pPr>
            <w:r>
              <w:rPr>
                <w:rFonts w:hint="eastAsia" w:ascii="黑体" w:hAnsi="黑体" w:eastAsia="黑体" w:cs="黑体"/>
                <w:sz w:val="24"/>
              </w:rPr>
              <w:t>法律服务机构</w:t>
            </w:r>
          </w:p>
        </w:tc>
        <w:tc>
          <w:tcPr>
            <w:tcW w:w="570" w:type="dxa"/>
            <w:vAlign w:val="center"/>
          </w:tcPr>
          <w:p>
            <w:pPr>
              <w:spacing w:line="400" w:lineRule="exact"/>
              <w:jc w:val="center"/>
              <w:rPr>
                <w:rFonts w:ascii="黑体" w:hAnsi="黑体" w:eastAsia="黑体" w:cs="黑体"/>
                <w:sz w:val="24"/>
              </w:rPr>
            </w:pPr>
            <w:r>
              <w:rPr>
                <w:rFonts w:hint="eastAsia" w:ascii="黑体" w:hAnsi="黑体" w:eastAsia="黑体" w:cs="黑体"/>
                <w:sz w:val="24"/>
              </w:rPr>
              <w:t>其他</w:t>
            </w:r>
          </w:p>
        </w:tc>
        <w:tc>
          <w:tcPr>
            <w:tcW w:w="747" w:type="dxa"/>
            <w:vMerge w:val="continue"/>
            <w:vAlign w:val="center"/>
          </w:tcPr>
          <w:p>
            <w:pPr>
              <w:spacing w:line="400" w:lineRule="exac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一、本年新收政府信息公开申请数量</w:t>
            </w:r>
          </w:p>
        </w:tc>
        <w:tc>
          <w:tcPr>
            <w:tcW w:w="83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p>
        </w:tc>
        <w:tc>
          <w:tcPr>
            <w:tcW w:w="70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（六）其他处理</w:t>
            </w: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1.申请人无正当理由逾期不补正、行政机关不再处理其政府信息公开申请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continue"/>
            <w:vAlign w:val="center"/>
          </w:tcPr>
          <w:p>
            <w:pPr>
              <w:spacing w:line="400" w:lineRule="exact"/>
              <w:rPr>
                <w:rFonts w:ascii="仿宋_GB2312" w:hAnsi="仿宋_GB2312" w:eastAsia="仿宋_GB2312" w:cs="仿宋_GB2312"/>
                <w:sz w:val="24"/>
              </w:rPr>
            </w:pP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2.申请人逾期未按收费通知要求缴纳费用、行政机关不再处理其政府信息公开申请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continue"/>
            <w:vAlign w:val="center"/>
          </w:tcPr>
          <w:p>
            <w:pPr>
              <w:spacing w:line="400" w:lineRule="exact"/>
              <w:rPr>
                <w:rFonts w:ascii="仿宋_GB2312" w:hAnsi="仿宋_GB2312" w:eastAsia="仿宋_GB2312" w:cs="仿宋_GB2312"/>
                <w:sz w:val="24"/>
              </w:rPr>
            </w:pP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3.其他</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beforeLines="100" w:afterLines="50" w:line="400" w:lineRule="exact"/>
        <w:ind w:firstLine="640" w:firstLineChars="200"/>
        <w:outlineLvl w:val="0"/>
        <w:rPr>
          <w:rFonts w:ascii="黑体" w:hAnsi="黑体" w:eastAsia="黑体"/>
          <w:sz w:val="30"/>
          <w:szCs w:val="30"/>
        </w:rPr>
      </w:pPr>
      <w:r>
        <w:rPr>
          <w:rFonts w:hint="eastAsia" w:ascii="黑体" w:hAnsi="黑体" w:eastAsia="黑体" w:cs="黑体"/>
          <w:snapToGrid w:val="0"/>
          <w:color w:val="000000"/>
          <w:sz w:val="32"/>
          <w:szCs w:val="32"/>
          <w:shd w:val="clear" w:color="auto" w:fill="FFFFFF"/>
        </w:rPr>
        <w:t>四、政府信息公开行政复议、行政诉讼情况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53"/>
        <w:gridCol w:w="553"/>
        <w:gridCol w:w="520"/>
        <w:gridCol w:w="586"/>
        <w:gridCol w:w="629"/>
        <w:gridCol w:w="477"/>
        <w:gridCol w:w="553"/>
        <w:gridCol w:w="470"/>
        <w:gridCol w:w="636"/>
        <w:gridCol w:w="553"/>
        <w:gridCol w:w="553"/>
        <w:gridCol w:w="553"/>
        <w:gridCol w:w="553"/>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行政复议</w:t>
            </w:r>
          </w:p>
        </w:tc>
        <w:tc>
          <w:tcPr>
            <w:tcW w:w="6493" w:type="dxa"/>
            <w:gridSpan w:val="10"/>
            <w:vAlign w:val="center"/>
          </w:tcPr>
          <w:p>
            <w:pPr>
              <w:spacing w:line="400" w:lineRule="exact"/>
              <w:jc w:val="center"/>
              <w:rPr>
                <w:rFonts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continue"/>
            <w:vAlign w:val="center"/>
          </w:tcPr>
          <w:p>
            <w:pPr>
              <w:spacing w:line="400" w:lineRule="exact"/>
              <w:jc w:val="center"/>
              <w:rPr>
                <w:rFonts w:ascii="黑体" w:hAnsi="黑体" w:eastAsia="黑体" w:cs="黑体"/>
                <w:sz w:val="24"/>
              </w:rPr>
            </w:pPr>
          </w:p>
        </w:tc>
        <w:tc>
          <w:tcPr>
            <w:tcW w:w="2765"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未经复议直接起诉</w:t>
            </w:r>
          </w:p>
        </w:tc>
        <w:tc>
          <w:tcPr>
            <w:tcW w:w="3728"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2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58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62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4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4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63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151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2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8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4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4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3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51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pStyle w:val="4"/>
        <w:widowControl/>
        <w:spacing w:beforeAutospacing="0" w:afterAutospacing="0" w:line="64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五、政府信息公开工作存在的主要问题及改进情况</w:t>
      </w:r>
    </w:p>
    <w:p>
      <w:pPr>
        <w:pStyle w:val="4"/>
        <w:widowControl/>
        <w:spacing w:beforeAutospacing="0" w:afterAutospacing="0" w:line="640" w:lineRule="exact"/>
        <w:ind w:firstLine="640" w:firstLineChars="200"/>
        <w:rPr>
          <w:rFonts w:hint="eastAsia" w:ascii="黑体" w:hAnsi="黑体" w:eastAsia="黑体" w:cs="黑体"/>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年，区住建局政府信息公开工作取得了一定的成效，</w:t>
      </w:r>
      <w:r>
        <w:rPr>
          <w:rFonts w:hint="eastAsia" w:ascii="仿宋_GB2312" w:eastAsia="仿宋_GB2312"/>
          <w:sz w:val="32"/>
          <w:szCs w:val="32"/>
        </w:rPr>
        <w:t>今后，我局将严格执行制度，不断拓宽公开渠道、创新公开办法、丰富公开形式，克服人手紧、任务重、经验不足的困难，保障信息公开工作常规化的开展，不断促进各项工作再上新台阶</w:t>
      </w:r>
      <w:r>
        <w:rPr>
          <w:rFonts w:hint="eastAsia" w:ascii="仿宋_GB2312" w:eastAsia="仿宋_GB2312"/>
          <w:sz w:val="32"/>
          <w:szCs w:val="32"/>
          <w:lang w:eastAsia="zh-CN"/>
        </w:rPr>
        <w:t>。</w:t>
      </w:r>
    </w:p>
    <w:p>
      <w:pPr>
        <w:pStyle w:val="4"/>
        <w:widowControl/>
        <w:spacing w:beforeAutospacing="0" w:afterAutospacing="0" w:line="64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beforeAutospacing="0" w:afterAutospacing="0" w:line="640" w:lineRule="exact"/>
        <w:ind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务院办公厅印发的《政府信息公开信息处理费管理办法》和浙江省政府办公厅、宁波市政府办公厅关于政府信息公开信息处理费收取工作的有关规定，本机关全年没有收到超出一定数量或者频次范围的政府信息公开申请，也未对申请人收取信息处理费。特此说明。</w:t>
      </w:r>
    </w:p>
    <w:p>
      <w:pPr>
        <w:pStyle w:val="4"/>
        <w:widowControl/>
        <w:spacing w:beforeAutospacing="0" w:afterAutospacing="0" w:line="640" w:lineRule="exact"/>
        <w:ind w:firstLine="420"/>
        <w:jc w:val="righ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宁波市北仑区住房和城乡建设局</w:t>
      </w:r>
    </w:p>
    <w:p>
      <w:pPr>
        <w:pStyle w:val="4"/>
        <w:widowControl/>
        <w:spacing w:beforeAutospacing="0" w:afterAutospacing="0" w:line="640" w:lineRule="exact"/>
        <w:ind w:firstLine="420"/>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年1月</w:t>
      </w:r>
      <w:r>
        <w:rPr>
          <w:rFonts w:hint="eastAsia" w:ascii="仿宋_GB2312" w:hAnsi="仿宋_GB2312" w:eastAsia="仿宋_GB2312" w:cs="仿宋_GB2312"/>
          <w:color w:val="333333"/>
          <w:sz w:val="32"/>
          <w:szCs w:val="32"/>
          <w:lang w:val="en-US" w:eastAsia="zh-CN"/>
        </w:rPr>
        <w:t>10</w:t>
      </w:r>
      <w:r>
        <w:rPr>
          <w:rFonts w:hint="eastAsia" w:ascii="仿宋_GB2312" w:hAnsi="仿宋_GB2312" w:eastAsia="仿宋_GB2312" w:cs="仿宋_GB2312"/>
          <w:color w:val="333333"/>
          <w:sz w:val="32"/>
          <w:szCs w:val="32"/>
        </w:rPr>
        <w:t>日</w:t>
      </w:r>
    </w:p>
    <w:p>
      <w:pPr>
        <w:rPr>
          <w:sz w:val="32"/>
          <w:szCs w:val="32"/>
        </w:rPr>
      </w:pPr>
    </w:p>
    <w:sectPr>
      <w:footerReference r:id="rId3" w:type="default"/>
      <w:pgSz w:w="11906" w:h="16838"/>
      <w:pgMar w:top="1871" w:right="1474" w:bottom="158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7AC88"/>
    <w:multiLevelType w:val="singleLevel"/>
    <w:tmpl w:val="E007AC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A965A3"/>
    <w:rsid w:val="000861BC"/>
    <w:rsid w:val="001F1F9F"/>
    <w:rsid w:val="00284EFD"/>
    <w:rsid w:val="002B0CAB"/>
    <w:rsid w:val="0041592C"/>
    <w:rsid w:val="0045608C"/>
    <w:rsid w:val="00593799"/>
    <w:rsid w:val="005A1F8F"/>
    <w:rsid w:val="009112F2"/>
    <w:rsid w:val="00E172EA"/>
    <w:rsid w:val="00EF676B"/>
    <w:rsid w:val="00F032B7"/>
    <w:rsid w:val="02EC0144"/>
    <w:rsid w:val="09A965A3"/>
    <w:rsid w:val="0CA10E66"/>
    <w:rsid w:val="0DC364EC"/>
    <w:rsid w:val="100C65BD"/>
    <w:rsid w:val="107D642A"/>
    <w:rsid w:val="11E22240"/>
    <w:rsid w:val="123D758A"/>
    <w:rsid w:val="160C51F5"/>
    <w:rsid w:val="1C9576AB"/>
    <w:rsid w:val="1F5C5188"/>
    <w:rsid w:val="22B52C60"/>
    <w:rsid w:val="27A75A2C"/>
    <w:rsid w:val="2A0E4EB2"/>
    <w:rsid w:val="2AA91387"/>
    <w:rsid w:val="2FC16FD3"/>
    <w:rsid w:val="2FCD3810"/>
    <w:rsid w:val="39FF6AB8"/>
    <w:rsid w:val="3ED9743F"/>
    <w:rsid w:val="40C256BD"/>
    <w:rsid w:val="440C5849"/>
    <w:rsid w:val="44221965"/>
    <w:rsid w:val="47630535"/>
    <w:rsid w:val="47A55AB3"/>
    <w:rsid w:val="4C803119"/>
    <w:rsid w:val="4C9123CF"/>
    <w:rsid w:val="4F9B6E4F"/>
    <w:rsid w:val="533D5701"/>
    <w:rsid w:val="59FB02AF"/>
    <w:rsid w:val="61401AE5"/>
    <w:rsid w:val="61B07E19"/>
    <w:rsid w:val="61E430D8"/>
    <w:rsid w:val="644D1BD0"/>
    <w:rsid w:val="65FA6086"/>
    <w:rsid w:val="66167E38"/>
    <w:rsid w:val="673E40F0"/>
    <w:rsid w:val="6AFE4C92"/>
    <w:rsid w:val="6B4C17B3"/>
    <w:rsid w:val="6E406CBD"/>
    <w:rsid w:val="6FA74E7A"/>
    <w:rsid w:val="701C10FA"/>
    <w:rsid w:val="71647BB1"/>
    <w:rsid w:val="72613C8C"/>
    <w:rsid w:val="72BD7054"/>
    <w:rsid w:val="774B164C"/>
    <w:rsid w:val="78D51A98"/>
    <w:rsid w:val="7A431CDE"/>
    <w:rsid w:val="7C4C47F9"/>
    <w:rsid w:val="7CE44490"/>
    <w:rsid w:val="7CF94F51"/>
    <w:rsid w:val="7CFC737A"/>
    <w:rsid w:val="7DD70A02"/>
    <w:rsid w:val="7E96358A"/>
    <w:rsid w:val="D94E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376</Words>
  <Characters>2149</Characters>
  <Lines>17</Lines>
  <Paragraphs>5</Paragraphs>
  <TotalTime>3</TotalTime>
  <ScaleCrop>false</ScaleCrop>
  <LinksUpToDate>false</LinksUpToDate>
  <CharactersWithSpaces>2520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2020-01-19T12:30:00Z</dcterms:created>
  <dc:creator>桃维</dc:creator>
  <cp:lastModifiedBy>guest</cp:lastModifiedBy>
  <cp:lastPrinted>2022-12-02T09:20:00Z</cp:lastPrinted>
  <dcterms:modified xsi:type="dcterms:W3CDTF">2023-12-11T15:38:14Z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